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5262E5" w:rsidRDefault="004C1092" w:rsidP="00983417">
      <w:pPr>
        <w:pStyle w:val="Title"/>
        <w:spacing w:after="120" w:line="240" w:lineRule="auto"/>
        <w:jc w:val="left"/>
        <w:rPr>
          <w:sz w:val="24"/>
          <w:szCs w:val="24"/>
        </w:rPr>
      </w:pPr>
    </w:p>
    <w:p w14:paraId="39FCDFA5" w14:textId="250346D5" w:rsidR="0064777F" w:rsidRPr="005262E5" w:rsidRDefault="0064777F" w:rsidP="008838DB">
      <w:pPr>
        <w:pStyle w:val="Title"/>
        <w:spacing w:after="120" w:line="240" w:lineRule="auto"/>
        <w:rPr>
          <w:sz w:val="24"/>
          <w:szCs w:val="24"/>
        </w:rPr>
      </w:pPr>
      <w:r w:rsidRPr="005262E5">
        <w:rPr>
          <w:sz w:val="24"/>
          <w:szCs w:val="24"/>
        </w:rPr>
        <w:t>NOTĂ DE FUNDAMENTARE</w:t>
      </w:r>
    </w:p>
    <w:p w14:paraId="1CA3C7C8" w14:textId="77777777" w:rsidR="00983417" w:rsidRPr="005262E5" w:rsidRDefault="00983417" w:rsidP="00983417">
      <w:pPr>
        <w:pStyle w:val="Title"/>
        <w:spacing w:after="120" w:line="240" w:lineRule="auto"/>
        <w:rPr>
          <w:sz w:val="24"/>
          <w:szCs w:val="24"/>
        </w:rPr>
      </w:pPr>
    </w:p>
    <w:p w14:paraId="78C75447" w14:textId="3C84D460" w:rsidR="00223491" w:rsidRPr="005262E5" w:rsidRDefault="00223491" w:rsidP="008838DB">
      <w:pPr>
        <w:pStyle w:val="Title"/>
        <w:spacing w:after="120" w:line="240" w:lineRule="auto"/>
        <w:ind w:firstLine="720"/>
        <w:jc w:val="left"/>
        <w:rPr>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AB30EB" w:rsidRPr="005262E5" w14:paraId="117C71DD" w14:textId="77777777" w:rsidTr="00223491">
        <w:tc>
          <w:tcPr>
            <w:tcW w:w="10490" w:type="dxa"/>
          </w:tcPr>
          <w:p w14:paraId="2BAC7A1B" w14:textId="77777777" w:rsidR="0031102C" w:rsidRPr="005262E5" w:rsidRDefault="0031102C" w:rsidP="000E4B24">
            <w:pPr>
              <w:jc w:val="center"/>
              <w:rPr>
                <w:b/>
                <w:lang w:eastAsia="ro-RO"/>
              </w:rPr>
            </w:pPr>
            <w:r w:rsidRPr="005262E5">
              <w:rPr>
                <w:b/>
                <w:lang w:eastAsia="ro-RO"/>
              </w:rPr>
              <w:t>Secțiunea 1</w:t>
            </w:r>
          </w:p>
          <w:p w14:paraId="4B54A33E" w14:textId="12D53627" w:rsidR="0031102C" w:rsidRPr="005262E5" w:rsidRDefault="0031102C" w:rsidP="000E4B24">
            <w:pPr>
              <w:jc w:val="center"/>
              <w:rPr>
                <w:b/>
                <w:lang w:eastAsia="ro-RO"/>
              </w:rPr>
            </w:pPr>
            <w:r w:rsidRPr="005262E5">
              <w:rPr>
                <w:b/>
                <w:lang w:eastAsia="ro-RO"/>
              </w:rPr>
              <w:t>Titlul proiectului de act normativ</w:t>
            </w:r>
          </w:p>
          <w:p w14:paraId="338F09EC" w14:textId="69F446A5" w:rsidR="00670C79" w:rsidRPr="005262E5" w:rsidRDefault="00D94D65" w:rsidP="000E4B24">
            <w:pPr>
              <w:jc w:val="center"/>
              <w:rPr>
                <w:b/>
                <w:lang w:eastAsia="ro-RO"/>
              </w:rPr>
            </w:pPr>
            <w:r w:rsidRPr="005262E5">
              <w:rPr>
                <w:b/>
                <w:lang w:eastAsia="ro-RO"/>
              </w:rPr>
              <w:t>O</w:t>
            </w:r>
            <w:r w:rsidR="0031102C" w:rsidRPr="005262E5">
              <w:rPr>
                <w:b/>
                <w:lang w:eastAsia="ro-RO"/>
              </w:rPr>
              <w:t>rdonanță</w:t>
            </w:r>
            <w:r w:rsidRPr="005262E5">
              <w:rPr>
                <w:b/>
                <w:lang w:eastAsia="ro-RO"/>
              </w:rPr>
              <w:t xml:space="preserve"> </w:t>
            </w:r>
            <w:r w:rsidR="0031102C" w:rsidRPr="005262E5">
              <w:rPr>
                <w:b/>
                <w:lang w:eastAsia="ro-RO"/>
              </w:rPr>
              <w:t>de urgență</w:t>
            </w:r>
            <w:r w:rsidRPr="005262E5">
              <w:rPr>
                <w:b/>
                <w:lang w:eastAsia="ro-RO"/>
              </w:rPr>
              <w:t xml:space="preserve"> privind unele măsuri pentru acordarea de </w:t>
            </w:r>
            <w:r w:rsidR="002F7FB9">
              <w:rPr>
                <w:b/>
                <w:lang w:eastAsia="ro-RO"/>
              </w:rPr>
              <w:t xml:space="preserve">microgranturi și </w:t>
            </w:r>
            <w:r w:rsidRPr="005262E5">
              <w:rPr>
                <w:b/>
                <w:lang w:eastAsia="ro-RO"/>
              </w:rPr>
              <w:t>granturi pentru capital de lucru entităților din domeniul agroalimentar cu finanțare din fonduri externe nerambursabile</w:t>
            </w:r>
          </w:p>
        </w:tc>
      </w:tr>
    </w:tbl>
    <w:p w14:paraId="2CE089BE" w14:textId="7BDFBE6D" w:rsidR="00BC6BCA" w:rsidRPr="005262E5" w:rsidRDefault="00BC6BCA" w:rsidP="000E4B24">
      <w:pPr>
        <w:spacing w:after="120"/>
        <w:jc w:val="center"/>
        <w:rPr>
          <w:b/>
          <w:lang w:eastAsia="ro-RO"/>
        </w:rPr>
      </w:pPr>
    </w:p>
    <w:p w14:paraId="33C1CD30" w14:textId="00D40A57" w:rsidR="00223491" w:rsidRPr="005262E5" w:rsidRDefault="00C5468F" w:rsidP="000E4B24">
      <w:pPr>
        <w:spacing w:after="120"/>
        <w:ind w:firstLine="720"/>
        <w:jc w:val="center"/>
        <w:rPr>
          <w:b/>
          <w:lang w:eastAsia="ro-RO"/>
        </w:rPr>
      </w:pPr>
      <w:r w:rsidRPr="005262E5">
        <w:rPr>
          <w:b/>
          <w:lang w:eastAsia="ro-RO"/>
        </w:rPr>
        <w:t>Secțiunea</w:t>
      </w:r>
      <w:r w:rsidR="00670C79" w:rsidRPr="005262E5">
        <w:rPr>
          <w:b/>
          <w:lang w:eastAsia="ro-RO"/>
        </w:rPr>
        <w:t xml:space="preserve"> a 2-a</w:t>
      </w:r>
    </w:p>
    <w:p w14:paraId="23181ACA" w14:textId="619D65F9" w:rsidR="00CB78C4" w:rsidRPr="005262E5" w:rsidRDefault="00670C79" w:rsidP="000E4B24">
      <w:pPr>
        <w:spacing w:after="120"/>
        <w:ind w:firstLine="720"/>
        <w:jc w:val="center"/>
        <w:rPr>
          <w:b/>
          <w:lang w:eastAsia="ro-RO"/>
        </w:rPr>
      </w:pPr>
      <w:r w:rsidRPr="005262E5">
        <w:rPr>
          <w:b/>
          <w:lang w:eastAsia="ro-RO"/>
        </w:rPr>
        <w:t>Motivul emiterii actului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AB30EB" w:rsidRPr="003A15E1" w14:paraId="47D7FD1D" w14:textId="77777777" w:rsidTr="00E669C2">
        <w:trPr>
          <w:trHeight w:val="841"/>
        </w:trPr>
        <w:tc>
          <w:tcPr>
            <w:tcW w:w="10490" w:type="dxa"/>
          </w:tcPr>
          <w:p w14:paraId="083EB0F1" w14:textId="77777777" w:rsidR="008441CD" w:rsidRPr="003A15E1" w:rsidRDefault="00223491" w:rsidP="008838DB">
            <w:pPr>
              <w:autoSpaceDE w:val="0"/>
              <w:autoSpaceDN w:val="0"/>
              <w:adjustRightInd w:val="0"/>
              <w:spacing w:after="120"/>
              <w:jc w:val="both"/>
              <w:rPr>
                <w:lang w:eastAsia="ro-RO"/>
              </w:rPr>
            </w:pPr>
            <w:r w:rsidRPr="003A15E1">
              <w:rPr>
                <w:b/>
                <w:lang w:eastAsia="ro-RO"/>
              </w:rPr>
              <w:t>2.1 Sursa proiectului de act normativ</w:t>
            </w:r>
            <w:r w:rsidRPr="003A15E1">
              <w:rPr>
                <w:lang w:eastAsia="ro-RO"/>
              </w:rPr>
              <w:t xml:space="preserve"> </w:t>
            </w:r>
          </w:p>
          <w:p w14:paraId="36C32531" w14:textId="3D83251D" w:rsidR="00223491" w:rsidRPr="003A15E1" w:rsidRDefault="00FB45DC" w:rsidP="008838DB">
            <w:pPr>
              <w:autoSpaceDE w:val="0"/>
              <w:autoSpaceDN w:val="0"/>
              <w:adjustRightInd w:val="0"/>
              <w:spacing w:after="120"/>
              <w:jc w:val="both"/>
              <w:rPr>
                <w:lang w:eastAsia="ro-RO"/>
              </w:rPr>
            </w:pPr>
            <w:r w:rsidRPr="003A15E1">
              <w:rPr>
                <w:lang w:eastAsia="ro-RO"/>
              </w:rPr>
              <w:t xml:space="preserve">    </w:t>
            </w:r>
            <w:r w:rsidR="00D94D65" w:rsidRPr="003A15E1">
              <w:rPr>
                <w:lang w:eastAsia="ro-RO"/>
              </w:rPr>
              <w:t xml:space="preserve">Axa Prioritară nr. 4 din Programul Operațional Competitivitate </w:t>
            </w:r>
            <w:r w:rsidR="002F7FB9">
              <w:rPr>
                <w:lang w:eastAsia="ro-RO"/>
              </w:rPr>
              <w:t xml:space="preserve">a fost </w:t>
            </w:r>
            <w:r w:rsidR="00D94D65" w:rsidRPr="003A15E1">
              <w:rPr>
                <w:lang w:eastAsia="ro-RO"/>
              </w:rPr>
              <w:t>aprobat</w:t>
            </w:r>
            <w:r w:rsidR="002F7FB9">
              <w:rPr>
                <w:lang w:eastAsia="ro-RO"/>
              </w:rPr>
              <w:t>ă</w:t>
            </w:r>
            <w:r w:rsidR="00D94D65" w:rsidRPr="003A15E1">
              <w:rPr>
                <w:lang w:eastAsia="ro-RO"/>
              </w:rPr>
              <w:t xml:space="preserve"> prin Decizia Comisiei Europene C(2014)10233 din 19.12.2014, cu modificările și completările ulterioare</w:t>
            </w:r>
            <w:r w:rsidR="008967B0" w:rsidRPr="003A15E1">
              <w:rPr>
                <w:lang w:eastAsia="ro-RO"/>
              </w:rPr>
              <w:t>.</w:t>
            </w:r>
          </w:p>
          <w:p w14:paraId="11EEAD62" w14:textId="710AA10A" w:rsidR="008967B0" w:rsidRPr="003A15E1" w:rsidRDefault="008967B0" w:rsidP="008967B0">
            <w:pPr>
              <w:autoSpaceDE w:val="0"/>
              <w:autoSpaceDN w:val="0"/>
              <w:adjustRightInd w:val="0"/>
              <w:spacing w:after="120"/>
              <w:jc w:val="both"/>
              <w:rPr>
                <w:lang w:eastAsia="ro-RO"/>
              </w:rPr>
            </w:pPr>
            <w:r w:rsidRPr="003A15E1">
              <w:rPr>
                <w:lang w:eastAsia="ro-RO"/>
              </w:rPr>
              <w:t xml:space="preserve">   Comisa Europeană a creat un cadru temporar prin care </w:t>
            </w:r>
            <w:r w:rsidR="002870BF" w:rsidRPr="003A15E1">
              <w:rPr>
                <w:lang w:eastAsia="ro-RO"/>
              </w:rPr>
              <w:t xml:space="preserve">întreprinderile mici și mijlocii ( IMM) </w:t>
            </w:r>
            <w:r w:rsidRPr="003A15E1">
              <w:rPr>
                <w:lang w:eastAsia="ro-RO"/>
              </w:rPr>
              <w:t xml:space="preserve"> afectate </w:t>
            </w:r>
            <w:r w:rsidR="002870BF" w:rsidRPr="003A15E1">
              <w:rPr>
                <w:lang w:eastAsia="ro-RO"/>
              </w:rPr>
              <w:t xml:space="preserve">de criza economică generată de pandemia de </w:t>
            </w:r>
            <w:r w:rsidR="00693C9A" w:rsidRPr="003A15E1">
              <w:rPr>
                <w:lang w:eastAsia="ro-RO"/>
              </w:rPr>
              <w:t>COVID -19</w:t>
            </w:r>
            <w:r w:rsidR="002870BF" w:rsidRPr="003A15E1">
              <w:rPr>
                <w:lang w:eastAsia="ro-RO"/>
              </w:rPr>
              <w:t xml:space="preserve"> </w:t>
            </w:r>
            <w:r w:rsidRPr="003A15E1">
              <w:rPr>
                <w:lang w:eastAsia="ro-RO"/>
              </w:rPr>
              <w:t>pot  fi sprijinite.</w:t>
            </w:r>
          </w:p>
          <w:p w14:paraId="0C7E345D" w14:textId="3295B933" w:rsidR="008967B0" w:rsidRPr="003A15E1" w:rsidRDefault="002870BF" w:rsidP="008967B0">
            <w:pPr>
              <w:autoSpaceDE w:val="0"/>
              <w:autoSpaceDN w:val="0"/>
              <w:adjustRightInd w:val="0"/>
              <w:spacing w:after="120"/>
              <w:jc w:val="both"/>
              <w:rPr>
                <w:lang w:eastAsia="ro-RO"/>
              </w:rPr>
            </w:pPr>
            <w:r w:rsidRPr="003A15E1">
              <w:rPr>
                <w:lang w:eastAsia="ro-RO"/>
              </w:rPr>
              <w:t xml:space="preserve">    C</w:t>
            </w:r>
            <w:r w:rsidR="008967B0" w:rsidRPr="003A15E1">
              <w:rPr>
                <w:lang w:eastAsia="ro-RO"/>
              </w:rPr>
              <w:t>onform Comunicării Comisiei Europene privind cadrul temporar pentru măsuri de ajutor de stat de sprijinirea economiei în contextul actualei epidemii de COVID -19  (220/C/91I/01) termenul de acordare a ajutorului de stat, respectiv de încheiere a contractelor cu IMM-urile, era 31 decembrie 2020</w:t>
            </w:r>
            <w:r w:rsidR="002F7FB9">
              <w:rPr>
                <w:lang w:eastAsia="ro-RO"/>
              </w:rPr>
              <w:t>.</w:t>
            </w:r>
          </w:p>
          <w:p w14:paraId="302C04AC" w14:textId="7904EE9C" w:rsidR="008967B0" w:rsidRPr="003A15E1" w:rsidRDefault="002870BF" w:rsidP="008967B0">
            <w:pPr>
              <w:autoSpaceDE w:val="0"/>
              <w:autoSpaceDN w:val="0"/>
              <w:adjustRightInd w:val="0"/>
              <w:spacing w:after="120"/>
              <w:jc w:val="both"/>
              <w:rPr>
                <w:lang w:eastAsia="ro-RO"/>
              </w:rPr>
            </w:pPr>
            <w:r w:rsidRPr="003A15E1">
              <w:rPr>
                <w:lang w:eastAsia="ro-RO"/>
              </w:rPr>
              <w:t xml:space="preserve">   </w:t>
            </w:r>
            <w:r w:rsidR="008967B0" w:rsidRPr="003A15E1">
              <w:rPr>
                <w:lang w:eastAsia="ro-RO"/>
              </w:rPr>
              <w:t>Ulterior, prin comunicarea C(2021) 8442 din 18 noiembrie 2021, Comisia Europeană  a adoptat o prelungire limitată a cadrului temporar, cu încă șase luni, până la 30 iunie 2022, pentru a permite statelor membre ca, acolo unde este necesar, să își prelungească schemele de sprijin și să se asigure că întreprinderile încă afectate de criză nu vor fi private brusc de sprijinul de care au nevoie.</w:t>
            </w:r>
          </w:p>
          <w:p w14:paraId="4D42E0FD" w14:textId="77777777" w:rsidR="002870BF" w:rsidRPr="003A15E1" w:rsidRDefault="002870BF" w:rsidP="008967B0">
            <w:pPr>
              <w:autoSpaceDE w:val="0"/>
              <w:autoSpaceDN w:val="0"/>
              <w:adjustRightInd w:val="0"/>
              <w:spacing w:after="120"/>
              <w:jc w:val="both"/>
              <w:rPr>
                <w:lang w:eastAsia="ro-RO"/>
              </w:rPr>
            </w:pPr>
          </w:p>
          <w:p w14:paraId="777690A7" w14:textId="77777777" w:rsidR="00223491" w:rsidRPr="003A15E1" w:rsidRDefault="00223491" w:rsidP="008838DB">
            <w:pPr>
              <w:autoSpaceDE w:val="0"/>
              <w:autoSpaceDN w:val="0"/>
              <w:adjustRightInd w:val="0"/>
              <w:spacing w:after="120"/>
              <w:jc w:val="both"/>
              <w:rPr>
                <w:b/>
                <w:lang w:eastAsia="ro-RO"/>
              </w:rPr>
            </w:pPr>
            <w:r w:rsidRPr="003A15E1">
              <w:rPr>
                <w:b/>
                <w:lang w:eastAsia="ro-RO"/>
              </w:rPr>
              <w:t>2.2 Descrierea situației actuale</w:t>
            </w:r>
          </w:p>
          <w:p w14:paraId="24CE39F6" w14:textId="7E308CE8" w:rsidR="007D1587" w:rsidRDefault="002F7FB9" w:rsidP="007D1587">
            <w:pPr>
              <w:autoSpaceDE w:val="0"/>
              <w:autoSpaceDN w:val="0"/>
              <w:adjustRightInd w:val="0"/>
              <w:spacing w:after="120"/>
              <w:jc w:val="both"/>
              <w:rPr>
                <w:lang w:eastAsia="ro-RO"/>
              </w:rPr>
            </w:pPr>
            <w:r>
              <w:rPr>
                <w:lang w:eastAsia="ro-RO"/>
              </w:rPr>
              <w:t xml:space="preserve">    </w:t>
            </w:r>
            <w:r w:rsidR="007D1587" w:rsidRPr="003A15E1">
              <w:rPr>
                <w:lang w:eastAsia="ro-RO"/>
              </w:rPr>
              <w:t>România, ca şi celelalte state membre ale U</w:t>
            </w:r>
            <w:r w:rsidR="005262E5" w:rsidRPr="003A15E1">
              <w:rPr>
                <w:lang w:eastAsia="ro-RO"/>
              </w:rPr>
              <w:t xml:space="preserve">niunii </w:t>
            </w:r>
            <w:r w:rsidR="007D1587" w:rsidRPr="003A15E1">
              <w:rPr>
                <w:lang w:eastAsia="ro-RO"/>
              </w:rPr>
              <w:t>E</w:t>
            </w:r>
            <w:r w:rsidR="005262E5" w:rsidRPr="003A15E1">
              <w:rPr>
                <w:lang w:eastAsia="ro-RO"/>
              </w:rPr>
              <w:t>uropene</w:t>
            </w:r>
            <w:r w:rsidR="007D1587" w:rsidRPr="003A15E1">
              <w:rPr>
                <w:lang w:eastAsia="ro-RO"/>
              </w:rPr>
              <w:t xml:space="preserve">, a fost afectată de criza economică generată de  pandemia de </w:t>
            </w:r>
            <w:r w:rsidR="00693C9A" w:rsidRPr="003A15E1">
              <w:rPr>
                <w:lang w:eastAsia="ro-RO"/>
              </w:rPr>
              <w:t>COVID – 19.</w:t>
            </w:r>
            <w:r w:rsidR="007D1587" w:rsidRPr="003A15E1">
              <w:rPr>
                <w:lang w:eastAsia="ro-RO"/>
              </w:rPr>
              <w:t xml:space="preserve"> </w:t>
            </w:r>
          </w:p>
          <w:p w14:paraId="488B6D49" w14:textId="27E4809D" w:rsidR="002F7FB9" w:rsidRDefault="002F7FB9" w:rsidP="002F7FB9">
            <w:pPr>
              <w:autoSpaceDE w:val="0"/>
              <w:autoSpaceDN w:val="0"/>
              <w:adjustRightInd w:val="0"/>
              <w:spacing w:after="120"/>
              <w:jc w:val="both"/>
              <w:rPr>
                <w:lang w:eastAsia="ro-RO"/>
              </w:rPr>
            </w:pPr>
            <w:r>
              <w:rPr>
                <w:lang w:eastAsia="ro-RO"/>
              </w:rPr>
              <w:t xml:space="preserve">    Pandemia de COVID-19 ale cărei efecte se resimt accentuat în economie, a afectat în mod semnificativ sectorul agroalimentar. Principalele provocări cu care întreprinderile din domeniul agroalimentar se confruntă sunt schimbarea tiparelor de consum la nivel de consumator și pe lanțurile de comercializare, schimbarea raportului dintre produsele proaspete și produsele de bază, creșterea livrărilor online, sincopele în sectorul de prelucrare agroindustrială, închiderea operatorilor economici pentru care acestea erau furnizori. </w:t>
            </w:r>
          </w:p>
          <w:p w14:paraId="33E30421" w14:textId="0426D8B6" w:rsidR="002F7FB9" w:rsidRDefault="002F7FB9" w:rsidP="002F7FB9">
            <w:pPr>
              <w:autoSpaceDE w:val="0"/>
              <w:autoSpaceDN w:val="0"/>
              <w:adjustRightInd w:val="0"/>
              <w:spacing w:after="120"/>
              <w:jc w:val="both"/>
              <w:rPr>
                <w:lang w:eastAsia="ro-RO"/>
              </w:rPr>
            </w:pPr>
            <w:r>
              <w:rPr>
                <w:lang w:eastAsia="ro-RO"/>
              </w:rPr>
              <w:t xml:space="preserve">     Întreprinderile solvabile sau mai puțin solvabile se confruntă și în acest an cu o lipsă majoră  de lichiditate. Acest lucru a afectat din anul 2020 grav situația economică a multor întreprinderi și situația angajaților acestora, periclitând supraviețuirea acestora.</w:t>
            </w:r>
          </w:p>
          <w:p w14:paraId="7A18429E" w14:textId="2722284D" w:rsidR="002F7FB9" w:rsidRPr="003A15E1" w:rsidRDefault="002F7FB9" w:rsidP="002F7FB9">
            <w:pPr>
              <w:autoSpaceDE w:val="0"/>
              <w:autoSpaceDN w:val="0"/>
              <w:adjustRightInd w:val="0"/>
              <w:spacing w:after="120"/>
              <w:jc w:val="both"/>
              <w:rPr>
                <w:lang w:eastAsia="ro-RO"/>
              </w:rPr>
            </w:pPr>
            <w:r>
              <w:rPr>
                <w:lang w:eastAsia="ro-RO"/>
              </w:rPr>
              <w:t xml:space="preserve">    Toate aceste provocări au ca efect, în primul rând, declinul producției, însoțit de scăderea veniturilor operatorilor economici din domeniul agricultură, acvacultura, piscicultură și industrie alimentară, precum și majorarea prețurilor produselor de bază pentru a acoperi pierderile înregistrate pe parcursul anilor pandemici și a rămâne activi în piață.</w:t>
            </w:r>
          </w:p>
          <w:p w14:paraId="16924C84" w14:textId="3BC079E0" w:rsidR="007D1587" w:rsidRDefault="00DD3AC8" w:rsidP="007D1587">
            <w:pPr>
              <w:autoSpaceDE w:val="0"/>
              <w:autoSpaceDN w:val="0"/>
              <w:adjustRightInd w:val="0"/>
              <w:spacing w:after="120"/>
              <w:jc w:val="both"/>
              <w:rPr>
                <w:lang w:eastAsia="ro-RO"/>
              </w:rPr>
            </w:pPr>
            <w:r>
              <w:rPr>
                <w:lang w:eastAsia="ro-RO"/>
              </w:rPr>
              <w:lastRenderedPageBreak/>
              <w:t xml:space="preserve">   </w:t>
            </w:r>
            <w:r w:rsidR="007D1587" w:rsidRPr="003A15E1">
              <w:rPr>
                <w:lang w:eastAsia="ro-RO"/>
              </w:rPr>
              <w:t xml:space="preserve">Criza economică </w:t>
            </w:r>
            <w:r w:rsidR="002F7FB9">
              <w:rPr>
                <w:lang w:eastAsia="ro-RO"/>
              </w:rPr>
              <w:t xml:space="preserve">a </w:t>
            </w:r>
            <w:r w:rsidR="007D1587" w:rsidRPr="003A15E1">
              <w:rPr>
                <w:lang w:eastAsia="ro-RO"/>
              </w:rPr>
              <w:t>afect</w:t>
            </w:r>
            <w:r w:rsidR="002F7FB9">
              <w:rPr>
                <w:lang w:eastAsia="ro-RO"/>
              </w:rPr>
              <w:t>at</w:t>
            </w:r>
            <w:r w:rsidR="007D1587" w:rsidRPr="003A15E1">
              <w:rPr>
                <w:lang w:eastAsia="ro-RO"/>
              </w:rPr>
              <w:t xml:space="preserve"> activitatea întreprinderilor, și în special a întreprinderilor mici și mijlocii (IMM), acestea confruntându-se cu un deficit brusc de lichidități sau chiar cu indisponibilitatea lichidităților.</w:t>
            </w:r>
          </w:p>
          <w:p w14:paraId="36E0ABBD" w14:textId="0525972E" w:rsidR="007D1587" w:rsidRPr="003A15E1" w:rsidRDefault="00DD3AC8" w:rsidP="007D1587">
            <w:pPr>
              <w:autoSpaceDE w:val="0"/>
              <w:autoSpaceDN w:val="0"/>
              <w:adjustRightInd w:val="0"/>
              <w:spacing w:after="120"/>
              <w:jc w:val="both"/>
              <w:rPr>
                <w:lang w:eastAsia="ro-RO"/>
              </w:rPr>
            </w:pPr>
            <w:r>
              <w:rPr>
                <w:lang w:eastAsia="ro-RO"/>
              </w:rPr>
              <w:t xml:space="preserve">   </w:t>
            </w:r>
            <w:r w:rsidR="007D1587" w:rsidRPr="003A15E1">
              <w:rPr>
                <w:lang w:eastAsia="ro-RO"/>
              </w:rPr>
              <w:t>Ca urmare a crizei, tot mai multe companii care altfel ar fi viabile se confrunt</w:t>
            </w:r>
            <w:r w:rsidR="002870BF" w:rsidRPr="003A15E1">
              <w:rPr>
                <w:lang w:eastAsia="ro-RO"/>
              </w:rPr>
              <w:t>ă</w:t>
            </w:r>
            <w:r w:rsidR="007D1587" w:rsidRPr="003A15E1">
              <w:rPr>
                <w:lang w:eastAsia="ro-RO"/>
              </w:rPr>
              <w:t xml:space="preserve"> cu probleme de solvabilitate, iar sprijinul pentru lichidități din fonduri naționale nu </w:t>
            </w:r>
            <w:r w:rsidR="002870BF" w:rsidRPr="003A15E1">
              <w:rPr>
                <w:lang w:eastAsia="ro-RO"/>
              </w:rPr>
              <w:t>este</w:t>
            </w:r>
            <w:r w:rsidR="007D1587" w:rsidRPr="003A15E1">
              <w:rPr>
                <w:lang w:eastAsia="ro-RO"/>
              </w:rPr>
              <w:t xml:space="preserve"> suficient. Acest lucru este </w:t>
            </w:r>
            <w:r w:rsidR="002870BF" w:rsidRPr="003A15E1">
              <w:rPr>
                <w:lang w:eastAsia="ro-RO"/>
              </w:rPr>
              <w:t xml:space="preserve">determinat </w:t>
            </w:r>
            <w:r w:rsidR="007D1587" w:rsidRPr="003A15E1">
              <w:rPr>
                <w:lang w:eastAsia="ro-RO"/>
              </w:rPr>
              <w:t xml:space="preserve">de faptul că sprijinul de lichiditate </w:t>
            </w:r>
            <w:r w:rsidR="005262E5" w:rsidRPr="003A15E1">
              <w:rPr>
                <w:lang w:eastAsia="ro-RO"/>
              </w:rPr>
              <w:t>este în general sub</w:t>
            </w:r>
            <w:r w:rsidR="007D1587" w:rsidRPr="003A15E1">
              <w:rPr>
                <w:lang w:eastAsia="ro-RO"/>
              </w:rPr>
              <w:t xml:space="preserve"> forma împrumuturilor, ceea ce </w:t>
            </w:r>
            <w:r w:rsidR="002870BF" w:rsidRPr="003A15E1">
              <w:rPr>
                <w:lang w:eastAsia="ro-RO"/>
              </w:rPr>
              <w:t xml:space="preserve">afectează </w:t>
            </w:r>
            <w:r w:rsidR="007D1587" w:rsidRPr="003A15E1">
              <w:rPr>
                <w:lang w:eastAsia="ro-RO"/>
              </w:rPr>
              <w:t>bilanțurile întreprinderilor, deoarece multe companii au asistat la o creștere constantă a capitalului împrumutat în ultimii ani.</w:t>
            </w:r>
          </w:p>
          <w:p w14:paraId="64293ADD" w14:textId="000F5524" w:rsidR="007D1587" w:rsidRDefault="00DD3AC8" w:rsidP="007D1587">
            <w:pPr>
              <w:autoSpaceDE w:val="0"/>
              <w:autoSpaceDN w:val="0"/>
              <w:adjustRightInd w:val="0"/>
              <w:spacing w:after="120"/>
              <w:jc w:val="both"/>
              <w:rPr>
                <w:lang w:eastAsia="ro-RO"/>
              </w:rPr>
            </w:pPr>
            <w:r>
              <w:rPr>
                <w:lang w:eastAsia="ro-RO"/>
              </w:rPr>
              <w:t xml:space="preserve">   </w:t>
            </w:r>
            <w:r w:rsidR="007D1587" w:rsidRPr="003A15E1">
              <w:rPr>
                <w:lang w:eastAsia="ro-RO"/>
              </w:rPr>
              <w:t xml:space="preserve">Totodată, impactul deficitului de capital este inegal între sectoarele și ecosistemele industriale, ceea ce </w:t>
            </w:r>
            <w:r w:rsidR="002870BF" w:rsidRPr="003A15E1">
              <w:rPr>
                <w:lang w:eastAsia="ro-RO"/>
              </w:rPr>
              <w:t xml:space="preserve">determină </w:t>
            </w:r>
            <w:r w:rsidR="007D1587" w:rsidRPr="003A15E1">
              <w:rPr>
                <w:lang w:eastAsia="ro-RO"/>
              </w:rPr>
              <w:t>divergențe pe piață și  dăun</w:t>
            </w:r>
            <w:r w:rsidR="002870BF" w:rsidRPr="003A15E1">
              <w:rPr>
                <w:lang w:eastAsia="ro-RO"/>
              </w:rPr>
              <w:t>ează</w:t>
            </w:r>
            <w:r w:rsidR="007D1587" w:rsidRPr="003A15E1">
              <w:rPr>
                <w:lang w:eastAsia="ro-RO"/>
              </w:rPr>
              <w:t xml:space="preserve"> potențialului productiv și capacității de  recuperare din recesiune.</w:t>
            </w:r>
          </w:p>
          <w:p w14:paraId="153E2EAC" w14:textId="4B7E455E" w:rsidR="00CB69AF" w:rsidRPr="003A15E1" w:rsidRDefault="00DD3AC8" w:rsidP="007D1587">
            <w:pPr>
              <w:autoSpaceDE w:val="0"/>
              <w:autoSpaceDN w:val="0"/>
              <w:adjustRightInd w:val="0"/>
              <w:spacing w:after="120"/>
              <w:jc w:val="both"/>
              <w:rPr>
                <w:lang w:eastAsia="ro-RO"/>
              </w:rPr>
            </w:pPr>
            <w:r>
              <w:rPr>
                <w:lang w:eastAsia="ro-RO"/>
              </w:rPr>
              <w:t xml:space="preserve">   </w:t>
            </w:r>
            <w:r w:rsidR="003C6023" w:rsidRPr="003A15E1">
              <w:rPr>
                <w:lang w:eastAsia="ro-RO"/>
              </w:rPr>
              <w:t>Cadru legal actual, repectiv Ordonanța de urgență a Guvernului nr. 130/2020 privind unele măsuri pentru acordarea de sprijin financiar din fonduri externe nerambursabile, aferente Programului operațional Competitivitate 2014 – 2020, în contextul crizei provocate de COVID-19, precum si alte măsuri în domeniul fondurilor europene, aprobată</w:t>
            </w:r>
            <w:r w:rsidR="003A15E1" w:rsidRPr="003A15E1">
              <w:rPr>
                <w:lang w:eastAsia="ro-RO"/>
              </w:rPr>
              <w:t xml:space="preserve"> cu modificări și completări </w:t>
            </w:r>
            <w:r w:rsidR="003C6023" w:rsidRPr="003A15E1">
              <w:rPr>
                <w:lang w:eastAsia="ro-RO"/>
              </w:rPr>
              <w:t>prin Legea nr. 220/2020</w:t>
            </w:r>
            <w:r w:rsidR="003A15E1" w:rsidRPr="003A15E1">
              <w:rPr>
                <w:lang w:eastAsia="ro-RO"/>
              </w:rPr>
              <w:t>,</w:t>
            </w:r>
            <w:r w:rsidR="003C6023" w:rsidRPr="003A15E1">
              <w:rPr>
                <w:lang w:eastAsia="ro-RO"/>
              </w:rPr>
              <w:t xml:space="preserve"> cu modificările și completările ulterioare, s-a dovedit insuficient deoarece : </w:t>
            </w:r>
          </w:p>
          <w:p w14:paraId="7EB7A566" w14:textId="0FEB2886" w:rsidR="007D1587" w:rsidRPr="00046413" w:rsidRDefault="007D1587" w:rsidP="000E4B24">
            <w:pPr>
              <w:pStyle w:val="ListParagraph"/>
              <w:numPr>
                <w:ilvl w:val="0"/>
                <w:numId w:val="14"/>
              </w:numPr>
              <w:autoSpaceDE w:val="0"/>
              <w:autoSpaceDN w:val="0"/>
              <w:adjustRightInd w:val="0"/>
              <w:spacing w:after="120"/>
              <w:jc w:val="both"/>
              <w:rPr>
                <w:lang w:eastAsia="ro-RO"/>
              </w:rPr>
            </w:pPr>
            <w:r w:rsidRPr="000E4B24">
              <w:rPr>
                <w:rFonts w:ascii="Times New Roman" w:hAnsi="Times New Roman" w:cs="Times New Roman"/>
                <w:lang w:eastAsia="ro-RO"/>
              </w:rPr>
              <w:t xml:space="preserve">o mare parte din IMM-urile care desfășoară activități economice în sectoarele agricultură, piscicultură </w:t>
            </w:r>
            <w:r w:rsidR="003A15E1">
              <w:rPr>
                <w:rFonts w:ascii="Times New Roman" w:hAnsi="Times New Roman" w:cs="Times New Roman"/>
                <w:lang w:eastAsia="ro-RO"/>
              </w:rPr>
              <w:t>,</w:t>
            </w:r>
            <w:r w:rsidRPr="000E4B24">
              <w:rPr>
                <w:rFonts w:ascii="Times New Roman" w:hAnsi="Times New Roman" w:cs="Times New Roman"/>
                <w:lang w:eastAsia="ro-RO"/>
              </w:rPr>
              <w:t xml:space="preserve"> acvacultură și industrie alimentară au nevoie de grant pentru capital de lucru necesar pentru plata datoriilor curente, constituirea stocurilor de materie primă, mărfuri, materiale consumabile, necesare propriilor salariați, iar în lipsa capitalului de lucru reluarea activității curente va fi dificil de realizat;</w:t>
            </w:r>
          </w:p>
          <w:p w14:paraId="3108D498" w14:textId="7DF0858F" w:rsidR="001957B4" w:rsidRPr="00DD3AC8" w:rsidRDefault="00210A61" w:rsidP="001957B4">
            <w:pPr>
              <w:pStyle w:val="ListParagraph"/>
              <w:numPr>
                <w:ilvl w:val="0"/>
                <w:numId w:val="14"/>
              </w:numPr>
              <w:autoSpaceDE w:val="0"/>
              <w:autoSpaceDN w:val="0"/>
              <w:adjustRightInd w:val="0"/>
              <w:spacing w:after="120"/>
              <w:jc w:val="both"/>
              <w:rPr>
                <w:lang w:eastAsia="ro-RO"/>
              </w:rPr>
            </w:pPr>
            <w:r w:rsidRPr="000E4B24">
              <w:rPr>
                <w:rFonts w:ascii="Times New Roman" w:hAnsi="Times New Roman" w:cs="Times New Roman"/>
                <w:lang w:eastAsia="ro-RO"/>
              </w:rPr>
              <w:t>persoanele fizice autorizate ( PFA)</w:t>
            </w:r>
            <w:r w:rsidR="001957B4">
              <w:rPr>
                <w:rFonts w:ascii="Times New Roman" w:hAnsi="Times New Roman" w:cs="Times New Roman"/>
                <w:lang w:eastAsia="ro-RO"/>
              </w:rPr>
              <w:t>,</w:t>
            </w:r>
            <w:r w:rsidR="001957B4" w:rsidRPr="0024344B">
              <w:rPr>
                <w:rFonts w:ascii="Times New Roman" w:hAnsi="Times New Roman" w:cs="Times New Roman"/>
              </w:rPr>
              <w:t xml:space="preserve"> întreprinderi</w:t>
            </w:r>
            <w:r w:rsidR="001957B4">
              <w:rPr>
                <w:rFonts w:ascii="Times New Roman" w:hAnsi="Times New Roman" w:cs="Times New Roman"/>
              </w:rPr>
              <w:t>le</w:t>
            </w:r>
            <w:r w:rsidR="001957B4" w:rsidRPr="0024344B">
              <w:rPr>
                <w:rFonts w:ascii="Times New Roman" w:hAnsi="Times New Roman" w:cs="Times New Roman"/>
              </w:rPr>
              <w:t xml:space="preserve"> individuale</w:t>
            </w:r>
            <w:r w:rsidR="001957B4">
              <w:rPr>
                <w:rFonts w:ascii="Times New Roman" w:hAnsi="Times New Roman" w:cs="Times New Roman"/>
              </w:rPr>
              <w:t xml:space="preserve"> (Îi), societățile agricole cooperative, cooperativele agricole, grupurile și organizațiile de producători din sectoarele agricultură, piscicultură, acvacultură și industrie alimentară</w:t>
            </w:r>
            <w:r w:rsidRPr="000E4B24">
              <w:rPr>
                <w:rFonts w:ascii="Times New Roman" w:hAnsi="Times New Roman" w:cs="Times New Roman"/>
                <w:lang w:eastAsia="ro-RO"/>
              </w:rPr>
              <w:t xml:space="preserve"> </w:t>
            </w:r>
            <w:r w:rsidR="007D1587" w:rsidRPr="000E4B24">
              <w:rPr>
                <w:rFonts w:ascii="Times New Roman" w:hAnsi="Times New Roman" w:cs="Times New Roman"/>
                <w:lang w:eastAsia="ro-RO"/>
              </w:rPr>
              <w:t xml:space="preserve"> au fost puternic afectate de pandemia </w:t>
            </w:r>
            <w:r w:rsidR="00DD3AC8">
              <w:rPr>
                <w:rFonts w:ascii="Times New Roman" w:hAnsi="Times New Roman" w:cs="Times New Roman"/>
                <w:lang w:eastAsia="ro-RO"/>
              </w:rPr>
              <w:t>COVID -19</w:t>
            </w:r>
            <w:r w:rsidR="007D1587" w:rsidRPr="000E4B24">
              <w:rPr>
                <w:rFonts w:ascii="Times New Roman" w:hAnsi="Times New Roman" w:cs="Times New Roman"/>
                <w:lang w:eastAsia="ro-RO"/>
              </w:rPr>
              <w:t xml:space="preserve"> prin întreruperea activității</w:t>
            </w:r>
            <w:r w:rsidR="00F43B91" w:rsidRPr="000E4B24">
              <w:rPr>
                <w:rFonts w:ascii="Times New Roman" w:hAnsi="Times New Roman" w:cs="Times New Roman"/>
                <w:lang w:eastAsia="ro-RO"/>
              </w:rPr>
              <w:t>.</w:t>
            </w:r>
            <w:r w:rsidR="007D1587" w:rsidRPr="000E4B24">
              <w:rPr>
                <w:rFonts w:ascii="Times New Roman" w:hAnsi="Times New Roman" w:cs="Times New Roman"/>
                <w:lang w:eastAsia="ro-RO"/>
              </w:rPr>
              <w:t xml:space="preserve"> </w:t>
            </w:r>
          </w:p>
          <w:p w14:paraId="543D92D8" w14:textId="5BAE23FD" w:rsidR="007D1587" w:rsidRPr="003A15E1" w:rsidRDefault="00DD3AC8" w:rsidP="007D1587">
            <w:pPr>
              <w:autoSpaceDE w:val="0"/>
              <w:autoSpaceDN w:val="0"/>
              <w:adjustRightInd w:val="0"/>
              <w:spacing w:after="120"/>
              <w:jc w:val="both"/>
              <w:rPr>
                <w:lang w:eastAsia="ro-RO"/>
              </w:rPr>
            </w:pPr>
            <w:r>
              <w:rPr>
                <w:lang w:eastAsia="ro-RO"/>
              </w:rPr>
              <w:t xml:space="preserve">    </w:t>
            </w:r>
            <w:r w:rsidR="00356690" w:rsidRPr="003A15E1">
              <w:rPr>
                <w:lang w:eastAsia="ro-RO"/>
              </w:rPr>
              <w:t>C</w:t>
            </w:r>
            <w:r w:rsidR="007D1587" w:rsidRPr="003A15E1">
              <w:rPr>
                <w:lang w:eastAsia="ro-RO"/>
              </w:rPr>
              <w:t>ontextul pandemic și consecințel</w:t>
            </w:r>
            <w:r w:rsidR="00356690" w:rsidRPr="003A15E1">
              <w:rPr>
                <w:lang w:eastAsia="ro-RO"/>
              </w:rPr>
              <w:t>e</w:t>
            </w:r>
            <w:r w:rsidR="007D1587" w:rsidRPr="003A15E1">
              <w:rPr>
                <w:lang w:eastAsia="ro-RO"/>
              </w:rPr>
              <w:t xml:space="preserve"> acestuia, au condus la întreruperi dese ale proceselor de producție afectând disponibilitatea forței de muncă, la sistarea lucrărilor de construcții, la refuzul angajării în noi contracte din partea antreprenorilor, amânarea începerii lucrărilor sau reducerea semnificativă a ritmului de lucru, mergând până la invocarea forței majore de către antreprenori.</w:t>
            </w:r>
          </w:p>
          <w:p w14:paraId="593751F7" w14:textId="5278B3FC" w:rsidR="007D1587" w:rsidRDefault="00DD3AC8" w:rsidP="007D1587">
            <w:pPr>
              <w:autoSpaceDE w:val="0"/>
              <w:autoSpaceDN w:val="0"/>
              <w:adjustRightInd w:val="0"/>
              <w:spacing w:after="120"/>
              <w:jc w:val="both"/>
              <w:rPr>
                <w:lang w:eastAsia="ro-RO"/>
              </w:rPr>
            </w:pPr>
            <w:r>
              <w:rPr>
                <w:lang w:eastAsia="ro-RO"/>
              </w:rPr>
              <w:t xml:space="preserve">    </w:t>
            </w:r>
            <w:r w:rsidR="007D1587" w:rsidRPr="003A15E1">
              <w:rPr>
                <w:lang w:eastAsia="ro-RO"/>
              </w:rPr>
              <w:t>În plus, în perioada 2020-2021, au fost acordate o serie de ajutoare care au vizat remedierea dificultăţilor din sectoarele de creştere a bovinelor, suinelor și păsărilor, pentru care era necesară susţinerea activităţii de creştere a animalelor și păsărilor, în vederea asigurării hranei, a materiilor prime pentru industria alimentară şi menţinerii locurilor de muncă</w:t>
            </w:r>
            <w:r w:rsidR="00356690" w:rsidRPr="003A15E1">
              <w:rPr>
                <w:lang w:eastAsia="ro-RO"/>
              </w:rPr>
              <w:t>, dovedite însă a fi insuficiente</w:t>
            </w:r>
            <w:r w:rsidR="0023022A">
              <w:rPr>
                <w:lang w:eastAsia="ro-RO"/>
              </w:rPr>
              <w:t>.</w:t>
            </w:r>
          </w:p>
          <w:p w14:paraId="4238D1EB" w14:textId="4D7137F5" w:rsidR="00223491" w:rsidRPr="003A15E1" w:rsidRDefault="00223491" w:rsidP="008838DB">
            <w:pPr>
              <w:autoSpaceDE w:val="0"/>
              <w:autoSpaceDN w:val="0"/>
              <w:adjustRightInd w:val="0"/>
              <w:spacing w:after="120"/>
              <w:jc w:val="both"/>
              <w:rPr>
                <w:b/>
                <w:lang w:eastAsia="ro-RO"/>
              </w:rPr>
            </w:pPr>
            <w:r w:rsidRPr="003A15E1">
              <w:rPr>
                <w:b/>
                <w:lang w:eastAsia="ro-RO"/>
              </w:rPr>
              <w:t>2.3 Schimbări preconizate</w:t>
            </w:r>
          </w:p>
          <w:p w14:paraId="709183B3" w14:textId="705D2719" w:rsidR="00164759" w:rsidRPr="00DD3AC8" w:rsidRDefault="00DD3AC8" w:rsidP="008838DB">
            <w:pPr>
              <w:autoSpaceDE w:val="0"/>
              <w:autoSpaceDN w:val="0"/>
              <w:adjustRightInd w:val="0"/>
              <w:spacing w:after="120"/>
              <w:jc w:val="both"/>
              <w:rPr>
                <w:bCs/>
                <w:lang w:eastAsia="ro-RO"/>
              </w:rPr>
            </w:pPr>
            <w:r>
              <w:rPr>
                <w:bCs/>
                <w:lang w:eastAsia="ro-RO"/>
              </w:rPr>
              <w:t xml:space="preserve">    </w:t>
            </w:r>
            <w:r w:rsidR="00356690" w:rsidRPr="00DD3AC8">
              <w:rPr>
                <w:bCs/>
                <w:lang w:eastAsia="ro-RO"/>
              </w:rPr>
              <w:t xml:space="preserve">Propunerea de act normativ vizează adoptarea de urgență a măsurilor de sprijin pentru capitalul de lucru și investițional ținând cont de termenul de expirare a cadrului temporar instituit în acest sens prin Comunicarea Comisiei Europene, respectiv la data de </w:t>
            </w:r>
            <w:r w:rsidR="00356690" w:rsidRPr="00DD3AC8">
              <w:rPr>
                <w:b/>
                <w:lang w:eastAsia="ro-RO"/>
              </w:rPr>
              <w:t>30</w:t>
            </w:r>
            <w:r w:rsidR="009D1A12" w:rsidRPr="00DD3AC8">
              <w:rPr>
                <w:b/>
                <w:lang w:eastAsia="ro-RO"/>
              </w:rPr>
              <w:t xml:space="preserve"> iunie </w:t>
            </w:r>
            <w:r w:rsidR="00356690" w:rsidRPr="00DD3AC8">
              <w:rPr>
                <w:b/>
                <w:lang w:eastAsia="ro-RO"/>
              </w:rPr>
              <w:t>2022</w:t>
            </w:r>
            <w:r w:rsidR="00356690" w:rsidRPr="00DD3AC8">
              <w:rPr>
                <w:bCs/>
                <w:lang w:eastAsia="ro-RO"/>
              </w:rPr>
              <w:t xml:space="preserve">, ajutoare acordate prin Axa Prioritară nr. 4 din Programul </w:t>
            </w:r>
            <w:r w:rsidR="009D1A12" w:rsidRPr="00DD3AC8">
              <w:rPr>
                <w:bCs/>
                <w:lang w:eastAsia="ro-RO"/>
              </w:rPr>
              <w:t>o</w:t>
            </w:r>
            <w:r w:rsidR="00356690" w:rsidRPr="00DD3AC8">
              <w:rPr>
                <w:bCs/>
                <w:lang w:eastAsia="ro-RO"/>
              </w:rPr>
              <w:t>perațional Competitivitate</w:t>
            </w:r>
            <w:r w:rsidR="0023022A" w:rsidRPr="00DD3AC8">
              <w:rPr>
                <w:bCs/>
                <w:lang w:eastAsia="ro-RO"/>
              </w:rPr>
              <w:t>.</w:t>
            </w:r>
          </w:p>
          <w:p w14:paraId="6CE16B8F" w14:textId="54742048" w:rsidR="0023022A" w:rsidRPr="00DD3AC8" w:rsidRDefault="00DD3AC8" w:rsidP="007D1587">
            <w:pPr>
              <w:autoSpaceDE w:val="0"/>
              <w:autoSpaceDN w:val="0"/>
              <w:adjustRightInd w:val="0"/>
              <w:spacing w:after="120"/>
              <w:jc w:val="both"/>
              <w:rPr>
                <w:bCs/>
                <w:lang w:eastAsia="ro-RO"/>
              </w:rPr>
            </w:pPr>
            <w:r>
              <w:rPr>
                <w:lang w:eastAsia="en-GB"/>
              </w:rPr>
              <w:t xml:space="preserve">    </w:t>
            </w:r>
            <w:r w:rsidR="009D1A12" w:rsidRPr="003A15E1">
              <w:rPr>
                <w:lang w:eastAsia="en-GB"/>
              </w:rPr>
              <w:t>Prezentul proiect de act normativ</w:t>
            </w:r>
            <w:r w:rsidR="0023022A">
              <w:rPr>
                <w:lang w:eastAsia="en-GB"/>
              </w:rPr>
              <w:t xml:space="preserve"> </w:t>
            </w:r>
            <w:r w:rsidR="00207492" w:rsidRPr="003A15E1">
              <w:rPr>
                <w:lang w:eastAsia="en-GB"/>
              </w:rPr>
              <w:t>reglementează un cadru procedural de aplicare a acordării de ajutor de stat sub formă de microgranturi</w:t>
            </w:r>
            <w:r w:rsidR="0061100D" w:rsidRPr="003A15E1">
              <w:rPr>
                <w:lang w:eastAsia="en-GB"/>
              </w:rPr>
              <w:t xml:space="preserve"> și granturi</w:t>
            </w:r>
            <w:r w:rsidR="00207492" w:rsidRPr="003A15E1">
              <w:rPr>
                <w:lang w:eastAsia="en-GB"/>
              </w:rPr>
              <w:t xml:space="preserve"> </w:t>
            </w:r>
            <w:r w:rsidR="0023022A">
              <w:rPr>
                <w:lang w:eastAsia="en-GB"/>
              </w:rPr>
              <w:t xml:space="preserve">pentru </w:t>
            </w:r>
            <w:r w:rsidR="0023022A" w:rsidRPr="003A15E1">
              <w:rPr>
                <w:lang w:eastAsia="en-GB"/>
              </w:rPr>
              <w:t xml:space="preserve">e </w:t>
            </w:r>
            <w:r w:rsidR="00207492" w:rsidRPr="003A15E1">
              <w:rPr>
                <w:lang w:eastAsia="en-GB"/>
              </w:rPr>
              <w:t>capital de lucru</w:t>
            </w:r>
            <w:r w:rsidR="00D46E67" w:rsidRPr="003A15E1">
              <w:rPr>
                <w:lang w:eastAsia="en-GB"/>
              </w:rPr>
              <w:t xml:space="preserve"> </w:t>
            </w:r>
            <w:r w:rsidR="00046413" w:rsidRPr="00DD3AC8">
              <w:rPr>
                <w:bCs/>
                <w:lang w:eastAsia="ro-RO"/>
              </w:rPr>
              <w:t>entităților din domeniul agroalimentar cu finanțare din fonduri externe nerambursabile</w:t>
            </w:r>
            <w:r w:rsidR="0023022A" w:rsidRPr="00DD3AC8">
              <w:rPr>
                <w:bCs/>
                <w:lang w:eastAsia="ro-RO"/>
              </w:rPr>
              <w:t xml:space="preserve">. </w:t>
            </w:r>
          </w:p>
          <w:p w14:paraId="561F8A30" w14:textId="77777777" w:rsidR="0023001E" w:rsidRPr="00DD3AC8" w:rsidRDefault="0023001E" w:rsidP="0023001E">
            <w:pPr>
              <w:autoSpaceDE w:val="0"/>
              <w:autoSpaceDN w:val="0"/>
              <w:adjustRightInd w:val="0"/>
              <w:spacing w:after="120"/>
              <w:jc w:val="both"/>
              <w:rPr>
                <w:bCs/>
                <w:lang w:eastAsia="ro-RO"/>
              </w:rPr>
            </w:pPr>
            <w:r w:rsidRPr="00DD3AC8">
              <w:rPr>
                <w:bCs/>
                <w:lang w:eastAsia="ro-RO"/>
              </w:rPr>
              <w:t>Formele de sprijin din fonduri externe nerambursabile prevăzute de prezenta ordonanță de urgență cuprind:</w:t>
            </w:r>
          </w:p>
          <w:p w14:paraId="13053752" w14:textId="77777777" w:rsidR="0023001E" w:rsidRPr="00DD3AC8" w:rsidRDefault="0023001E" w:rsidP="0023001E">
            <w:pPr>
              <w:autoSpaceDE w:val="0"/>
              <w:autoSpaceDN w:val="0"/>
              <w:adjustRightInd w:val="0"/>
              <w:spacing w:after="120"/>
              <w:jc w:val="both"/>
              <w:rPr>
                <w:bCs/>
                <w:lang w:eastAsia="ro-RO"/>
              </w:rPr>
            </w:pPr>
            <w:r w:rsidRPr="00DD3AC8">
              <w:rPr>
                <w:bCs/>
                <w:lang w:eastAsia="ro-RO"/>
              </w:rPr>
              <w:t>a) microgranturi acordate din fonduri externe nerambursabile sub formă de sumă forfetară;</w:t>
            </w:r>
          </w:p>
          <w:p w14:paraId="7D798F46" w14:textId="7B26F1F7" w:rsidR="0023001E" w:rsidRPr="00DD3AC8" w:rsidRDefault="0023001E" w:rsidP="0023001E">
            <w:pPr>
              <w:autoSpaceDE w:val="0"/>
              <w:autoSpaceDN w:val="0"/>
              <w:adjustRightInd w:val="0"/>
              <w:spacing w:after="120"/>
              <w:jc w:val="both"/>
              <w:rPr>
                <w:bCs/>
                <w:lang w:eastAsia="ro-RO"/>
              </w:rPr>
            </w:pPr>
            <w:r w:rsidRPr="00DD3AC8">
              <w:rPr>
                <w:bCs/>
                <w:lang w:eastAsia="ro-RO"/>
              </w:rPr>
              <w:t>b) granturi pentru capital de lucru acordate sub formă de sumă forfetară și în procent din cifra de afaceri.</w:t>
            </w:r>
          </w:p>
          <w:p w14:paraId="201D9129" w14:textId="4625A9A0" w:rsidR="0023001E" w:rsidRPr="00DD3AC8" w:rsidRDefault="00DD3AC8" w:rsidP="0023001E">
            <w:pPr>
              <w:autoSpaceDE w:val="0"/>
              <w:autoSpaceDN w:val="0"/>
              <w:adjustRightInd w:val="0"/>
              <w:spacing w:after="120"/>
              <w:jc w:val="both"/>
              <w:rPr>
                <w:bCs/>
                <w:lang w:eastAsia="ro-RO"/>
              </w:rPr>
            </w:pPr>
            <w:r>
              <w:rPr>
                <w:bCs/>
                <w:lang w:eastAsia="ro-RO"/>
              </w:rPr>
              <w:t xml:space="preserve">    </w:t>
            </w:r>
            <w:r w:rsidR="0023001E" w:rsidRPr="00DD3AC8">
              <w:rPr>
                <w:bCs/>
                <w:lang w:eastAsia="ro-RO"/>
              </w:rPr>
              <w:t xml:space="preserve">Microgranturile au valoarea de 5.000 euro pentru categoriile de beneficiari prevăzuți la art.5 și se acordă o singură dată, sub formă de sumă forfetară, conform prevederilor art. 3 alin. (1) din Regulamentul (UE) nr. 1.301/2013 al Parlamentului European și al Consiliului din 17 decembrie 2013 privind Fondul european de </w:t>
            </w:r>
            <w:r w:rsidR="0023001E" w:rsidRPr="00DD3AC8">
              <w:rPr>
                <w:bCs/>
                <w:lang w:eastAsia="ro-RO"/>
              </w:rPr>
              <w:lastRenderedPageBreak/>
              <w:t>dezvoltare regională și dispozițiile specifice aplicabile obiectivului referitor la investițiile pentru creștere economică și locuri de muncă și de abrogare a Regulamentului (CE) nr. 1.080/2006, cu modificările ulterioare, și ale art. 67 alin. (1) lit. c)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763938C9" w14:textId="5D8F6B2B" w:rsidR="0023001E" w:rsidRPr="00DD3AC8" w:rsidRDefault="00DD3AC8" w:rsidP="0023001E">
            <w:pPr>
              <w:autoSpaceDE w:val="0"/>
              <w:autoSpaceDN w:val="0"/>
              <w:adjustRightInd w:val="0"/>
              <w:spacing w:after="120"/>
              <w:jc w:val="both"/>
              <w:rPr>
                <w:bCs/>
                <w:lang w:eastAsia="ro-RO"/>
              </w:rPr>
            </w:pPr>
            <w:r>
              <w:rPr>
                <w:bCs/>
                <w:lang w:eastAsia="ro-RO"/>
              </w:rPr>
              <w:t xml:space="preserve">     </w:t>
            </w:r>
            <w:r w:rsidR="0023001E" w:rsidRPr="00DD3AC8">
              <w:rPr>
                <w:bCs/>
                <w:lang w:eastAsia="ro-RO"/>
              </w:rPr>
              <w:t>Fondurile alocate pentru acordarea de microgranturi în cadrul POC 2014-2020 sunt în valoare totală de 50.000.000 euro, din care 29.845.080 euro respectiv 25.000.000 euro FEDR-REACT EU și 4.845.080 euro cofinanțare de la bugetul de stat  se alocă din bugetul POC 2014-2020 prin Axa prioritară 4- Acțiunea 4.1.2- Capital de lucru și 20.154.920 euro de la bugetul de stat prin aplicarea mecanismului de supracontractare prevăzut de art.12 din Ordonanța de urgență a Guvernului nr. 40/2015 privind gestionarea financiară a fondurilor europene pentru perioada de programare 2014-2020, aprobată cu modificări și completări prin Legea nr. 105/2016, cu modificările și completările ulterioare.</w:t>
            </w:r>
          </w:p>
          <w:p w14:paraId="4C449922" w14:textId="140CA62C" w:rsidR="0023001E" w:rsidRPr="00DD3AC8" w:rsidRDefault="00DD3AC8" w:rsidP="0023001E">
            <w:pPr>
              <w:autoSpaceDE w:val="0"/>
              <w:autoSpaceDN w:val="0"/>
              <w:adjustRightInd w:val="0"/>
              <w:spacing w:after="120"/>
              <w:jc w:val="both"/>
              <w:rPr>
                <w:bCs/>
                <w:lang w:eastAsia="ro-RO"/>
              </w:rPr>
            </w:pPr>
            <w:r>
              <w:rPr>
                <w:bCs/>
                <w:lang w:eastAsia="ro-RO"/>
              </w:rPr>
              <w:t xml:space="preserve">    </w:t>
            </w:r>
            <w:r w:rsidR="0023001E" w:rsidRPr="00DD3AC8">
              <w:rPr>
                <w:bCs/>
                <w:lang w:eastAsia="ro-RO"/>
              </w:rPr>
              <w:t>Sumele alocate sub formă de cofinanțare din bugetul de stat în valoare de 20.154.920 euro prin mecanismul de supracontractare prevăzut de art.12 din Ordonanța de urgență a Guvernului nr. 40/2015, aprobată cu modificări și completări prin Legea nr. 105/2016, cu modificările și completările ulterioare,  se pot deconta din fonduri externe nerambursabile până la încheierea perioadei de programare 2014-2020 prin relocări de sume rezultate din disponibilizări de fonduri externe nerambursabile, ca urmare a economiilor, fazării proiectelor, în cadrul POC 2014-2020.</w:t>
            </w:r>
          </w:p>
          <w:p w14:paraId="48FD1BB7" w14:textId="5F522FAF" w:rsidR="0023001E" w:rsidRPr="00DD3AC8" w:rsidRDefault="00DD3AC8" w:rsidP="0023001E">
            <w:pPr>
              <w:autoSpaceDE w:val="0"/>
              <w:autoSpaceDN w:val="0"/>
              <w:adjustRightInd w:val="0"/>
              <w:spacing w:after="120"/>
              <w:jc w:val="both"/>
              <w:rPr>
                <w:bCs/>
                <w:lang w:eastAsia="ro-RO"/>
              </w:rPr>
            </w:pPr>
            <w:r>
              <w:rPr>
                <w:b/>
                <w:lang w:eastAsia="ro-RO"/>
              </w:rPr>
              <w:t xml:space="preserve">     </w:t>
            </w:r>
            <w:r w:rsidR="0023001E" w:rsidRPr="00DD3AC8">
              <w:rPr>
                <w:bCs/>
                <w:lang w:eastAsia="ro-RO"/>
              </w:rPr>
              <w:t>Prin acordarea de granturi pentru capital de lucru se înțelege alocarea de fonduri externe nerambursabile sub formă de sumă forfetară, conform prevederilor art. 3 alin. (1) din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cu modificările ulterioare, și ale art. 67 alin. (1) lit. c)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0B65FBCD" w14:textId="5564BF9C" w:rsidR="0023001E" w:rsidRPr="00DD3AC8" w:rsidRDefault="0023001E" w:rsidP="0023001E">
            <w:pPr>
              <w:autoSpaceDE w:val="0"/>
              <w:autoSpaceDN w:val="0"/>
              <w:adjustRightInd w:val="0"/>
              <w:spacing w:after="120"/>
              <w:jc w:val="both"/>
              <w:rPr>
                <w:bCs/>
                <w:lang w:eastAsia="ro-RO"/>
              </w:rPr>
            </w:pPr>
            <w:r>
              <w:rPr>
                <w:b/>
                <w:lang w:eastAsia="ro-RO"/>
              </w:rPr>
              <w:t xml:space="preserve"> </w:t>
            </w:r>
            <w:r w:rsidR="00DD3AC8">
              <w:rPr>
                <w:b/>
                <w:lang w:eastAsia="ro-RO"/>
              </w:rPr>
              <w:t xml:space="preserve">    </w:t>
            </w:r>
            <w:r w:rsidRPr="00DD3AC8">
              <w:rPr>
                <w:bCs/>
                <w:lang w:eastAsia="ro-RO"/>
              </w:rPr>
              <w:t>Alocarea grantului pentru capital de lucru se realizează pe bază de cotă procentuală din cifra de afaceri, acesta fiind destinat IMM-urilor, societatilor agricole, cooperativelor agricole, grupului de producători, organizaţiilor de producători, a căror activitate a fost afectată de efectele pandemiei de COVID -19.</w:t>
            </w:r>
          </w:p>
          <w:p w14:paraId="2AEB5934" w14:textId="29A924C8" w:rsidR="006C234F" w:rsidRPr="00DD3AC8" w:rsidRDefault="00DD3AC8" w:rsidP="006C234F">
            <w:pPr>
              <w:autoSpaceDE w:val="0"/>
              <w:autoSpaceDN w:val="0"/>
              <w:adjustRightInd w:val="0"/>
              <w:spacing w:after="120"/>
              <w:jc w:val="both"/>
              <w:rPr>
                <w:bCs/>
                <w:lang w:eastAsia="ro-RO"/>
              </w:rPr>
            </w:pPr>
            <w:r>
              <w:rPr>
                <w:b/>
                <w:lang w:eastAsia="ro-RO"/>
              </w:rPr>
              <w:t xml:space="preserve">      </w:t>
            </w:r>
            <w:r w:rsidR="006C234F" w:rsidRPr="00DD3AC8">
              <w:rPr>
                <w:bCs/>
                <w:lang w:eastAsia="ro-RO"/>
              </w:rPr>
              <w:t>Fondurile alocate pentru acordarea de granturi pentru capital de lucru în cadrul POC 2014-2020 sunt în valoare totală de 250.000.000 euro, din care 149.225.400 euro respectiv 125.000.000 euro FEDR-REACT EU și 24.225.400 euro cofinanțare de la bugetul de stat se alocă din bugetul POC 2014-2020 prin Axa prioritară 4- Acțiunea 4.1.2- Capital de lucru și 100.774.600 euro de la bugetul de stat prin aplicarea mecanismului de supracontractare prevăzut de art.12 din Ordonanța de urgență a Guvernului OUG nr.40/2015, cu modificările și completările ulterioare.</w:t>
            </w:r>
          </w:p>
          <w:p w14:paraId="155535F7" w14:textId="13EC5848" w:rsidR="0023001E" w:rsidRPr="00DD3AC8" w:rsidRDefault="00DD3AC8" w:rsidP="0023001E">
            <w:pPr>
              <w:autoSpaceDE w:val="0"/>
              <w:autoSpaceDN w:val="0"/>
              <w:adjustRightInd w:val="0"/>
              <w:spacing w:after="120"/>
              <w:jc w:val="both"/>
              <w:rPr>
                <w:bCs/>
                <w:lang w:eastAsia="ro-RO"/>
              </w:rPr>
            </w:pPr>
            <w:r>
              <w:rPr>
                <w:b/>
                <w:lang w:eastAsia="ro-RO"/>
              </w:rPr>
              <w:t xml:space="preserve">      </w:t>
            </w:r>
            <w:r w:rsidR="006C234F" w:rsidRPr="00DD3AC8">
              <w:rPr>
                <w:bCs/>
                <w:lang w:eastAsia="ro-RO"/>
              </w:rPr>
              <w:t>Sumele alocate sub formă de cofinanțare din bugetul de stat în valoare de 100.774.600 euro prin mecanismul de supracontractare prevăzut de art.12 din Ordonanța de urgență a Guvernului nr.40/2015, cu modificările și completările ulterioare, se pot deconta din fonduri externe nerambursabile până la încheierea perioadei de programare 2014-2020 prin relocări de sume rezultate din disponibilizări de fonduri externe nerambursabile, ca urmare a economiilor, fazării proiectelor în cadrul POC 2014-2020.</w:t>
            </w:r>
          </w:p>
          <w:p w14:paraId="10DA714C" w14:textId="6D5A33FD" w:rsidR="0023022A" w:rsidRPr="00DD3AC8" w:rsidRDefault="00DD3AC8" w:rsidP="0023022A">
            <w:pPr>
              <w:autoSpaceDE w:val="0"/>
              <w:autoSpaceDN w:val="0"/>
              <w:adjustRightInd w:val="0"/>
              <w:spacing w:after="120"/>
              <w:jc w:val="both"/>
              <w:rPr>
                <w:bCs/>
                <w:lang w:eastAsia="ro-RO"/>
              </w:rPr>
            </w:pPr>
            <w:r>
              <w:rPr>
                <w:b/>
                <w:lang w:eastAsia="ro-RO"/>
              </w:rPr>
              <w:lastRenderedPageBreak/>
              <w:t xml:space="preserve">       </w:t>
            </w:r>
            <w:r w:rsidR="0023022A" w:rsidRPr="00DD3AC8">
              <w:rPr>
                <w:bCs/>
                <w:lang w:eastAsia="ro-RO"/>
              </w:rPr>
              <w:t>Pentru a reduce impactul semnificativ înregistrat la nivelul populației prin creșterea prețurilor la produsele de bază și derivatele acestora , precum și pentru a asigura redresarea întreprinderilor din domeniul agriculturii, pisciculturii, acvaculturii și industriei alimentare, unele dintre cele mai afectate domenii de efectele pandemiei COVID-19, Guvernul României a adoptat un pachet de măsuri, ”Sprijin pentru România”, pentru atenuarea efectelor generate de criza economică atât pentru mediul de afaceri, cât și pentru populație.</w:t>
            </w:r>
          </w:p>
          <w:p w14:paraId="27393386" w14:textId="1AAB7F14" w:rsidR="0023022A" w:rsidRPr="00DD3AC8" w:rsidRDefault="00DD3AC8" w:rsidP="0023022A">
            <w:pPr>
              <w:autoSpaceDE w:val="0"/>
              <w:autoSpaceDN w:val="0"/>
              <w:adjustRightInd w:val="0"/>
              <w:spacing w:after="120"/>
              <w:jc w:val="both"/>
              <w:rPr>
                <w:bCs/>
                <w:lang w:eastAsia="ro-RO"/>
              </w:rPr>
            </w:pPr>
            <w:r w:rsidRPr="00DD3AC8">
              <w:rPr>
                <w:bCs/>
                <w:lang w:eastAsia="ro-RO"/>
              </w:rPr>
              <w:t xml:space="preserve">      </w:t>
            </w:r>
            <w:r w:rsidR="0023022A" w:rsidRPr="00DD3AC8">
              <w:rPr>
                <w:bCs/>
                <w:lang w:eastAsia="ro-RO"/>
              </w:rPr>
              <w:t>Rezultatul finanțării unui număr cât mai mare de entități, aproximativ 15.000 din domeniul agricultură, acvacultura, piscicultură și industrie alimentară care deține o parte însemnată în ponderea sectoarelor economice la nivelul economiei României, va conduce la redresarea economică națională, crearea de noi locuri de muncă cu un impact major asupra echilibrelor macroeconomice ale României.</w:t>
            </w:r>
          </w:p>
          <w:p w14:paraId="104B9852" w14:textId="3995FA91" w:rsidR="0023022A" w:rsidRPr="00DD3AC8" w:rsidRDefault="00DD3AC8" w:rsidP="0023022A">
            <w:pPr>
              <w:autoSpaceDE w:val="0"/>
              <w:autoSpaceDN w:val="0"/>
              <w:adjustRightInd w:val="0"/>
              <w:spacing w:after="120"/>
              <w:jc w:val="both"/>
              <w:rPr>
                <w:bCs/>
                <w:lang w:eastAsia="ro-RO"/>
              </w:rPr>
            </w:pPr>
            <w:r w:rsidRPr="00DD3AC8">
              <w:rPr>
                <w:bCs/>
                <w:lang w:eastAsia="ro-RO"/>
              </w:rPr>
              <w:t xml:space="preserve">     </w:t>
            </w:r>
            <w:r w:rsidR="0023022A" w:rsidRPr="00DD3AC8">
              <w:rPr>
                <w:bCs/>
                <w:lang w:eastAsia="ro-RO"/>
              </w:rPr>
              <w:t xml:space="preserve">Având în vedere interesul ridicat al Întreprinderilor Mici și Mijlocii cu privire la măsurile de sprijin și relansare economică implementate de Guvernul României, rezultă că entitățile din domeniul agriculturii, pisciculturii, acvaculturii și industriei alimentare au nevoie de </w:t>
            </w:r>
            <w:r w:rsidR="0023001E" w:rsidRPr="00DD3AC8">
              <w:rPr>
                <w:bCs/>
                <w:lang w:eastAsia="ro-RO"/>
              </w:rPr>
              <w:t xml:space="preserve">microgranturi și </w:t>
            </w:r>
            <w:r w:rsidR="0023022A" w:rsidRPr="00DD3AC8">
              <w:rPr>
                <w:bCs/>
                <w:lang w:eastAsia="ro-RO"/>
              </w:rPr>
              <w:t xml:space="preserve">granturi pentru capital de lucru necesar pentru plata datoriilor curente, constituirea stocurilor de materie primă, mărfuri, materiale consumabile, dar și pentru achiziționarea de echipamente, utilaje, tehnologii, iar în lipsa capitalului de lucru redresarea activității curente va fi dificil de realizat. </w:t>
            </w:r>
          </w:p>
          <w:p w14:paraId="2B8AD228" w14:textId="49BA4EFD" w:rsidR="0023022A" w:rsidRPr="00DD3AC8" w:rsidRDefault="0023022A" w:rsidP="007D1587">
            <w:pPr>
              <w:autoSpaceDE w:val="0"/>
              <w:autoSpaceDN w:val="0"/>
              <w:adjustRightInd w:val="0"/>
              <w:spacing w:after="120"/>
              <w:jc w:val="both"/>
              <w:rPr>
                <w:bCs/>
                <w:lang w:eastAsia="ro-RO"/>
              </w:rPr>
            </w:pPr>
            <w:r w:rsidRPr="0023022A">
              <w:rPr>
                <w:b/>
                <w:lang w:eastAsia="ro-RO"/>
              </w:rPr>
              <w:t xml:space="preserve">      </w:t>
            </w:r>
            <w:r w:rsidRPr="00DD3AC8">
              <w:rPr>
                <w:bCs/>
                <w:lang w:eastAsia="ro-RO"/>
              </w:rPr>
              <w:t>Măsurile propuse sunt imperios a fi adoptate în regim de urgență având în vedere faptul că ajutorul de stat se poate acorda doar până la data de 30 iunie 2022, data limită prevăzută de Cadrul Temporar, precum și faptul că, în</w:t>
            </w:r>
            <w:r w:rsidR="0023001E" w:rsidRPr="00DD3AC8">
              <w:rPr>
                <w:bCs/>
                <w:lang w:eastAsia="ro-RO"/>
              </w:rPr>
              <w:t xml:space="preserve"> </w:t>
            </w:r>
            <w:r w:rsidRPr="00DD3AC8">
              <w:rPr>
                <w:bCs/>
                <w:lang w:eastAsia="ro-RO"/>
              </w:rPr>
              <w:t xml:space="preserve"> lipsa măsurilor propuse în regim de urgență, domeniul agricultură, acvacultură, piscicultură și industrie alimentară, care reprezintă o prioritate a programului de relansare economică a Guvernului României, nu ar va beneficia de condiții de finanțare adecvată pentru proiectele de relansare a activităților, pentru capitalul de lucru necesar derulării activității curente a întreprinderilor grav afectate de pandemia COVID-19.</w:t>
            </w:r>
          </w:p>
          <w:p w14:paraId="45862F79" w14:textId="35432B50" w:rsidR="00223491" w:rsidRPr="003A15E1" w:rsidRDefault="00223491" w:rsidP="007D1587">
            <w:pPr>
              <w:autoSpaceDE w:val="0"/>
              <w:autoSpaceDN w:val="0"/>
              <w:adjustRightInd w:val="0"/>
              <w:spacing w:after="120"/>
              <w:jc w:val="both"/>
              <w:rPr>
                <w:bCs/>
                <w:lang w:eastAsia="en-GB"/>
              </w:rPr>
            </w:pPr>
            <w:r w:rsidRPr="003A15E1">
              <w:rPr>
                <w:b/>
                <w:bCs/>
                <w:lang w:eastAsia="en-GB"/>
              </w:rPr>
              <w:t>2.4 Alte informații</w:t>
            </w:r>
            <w:r w:rsidR="0064777F" w:rsidRPr="003A15E1">
              <w:rPr>
                <w:b/>
                <w:bCs/>
                <w:lang w:eastAsia="en-GB"/>
              </w:rPr>
              <w:t xml:space="preserve"> </w:t>
            </w:r>
            <w:r w:rsidR="002E51DD" w:rsidRPr="003A15E1">
              <w:rPr>
                <w:b/>
                <w:bCs/>
                <w:lang w:eastAsia="en-GB"/>
              </w:rPr>
              <w:t xml:space="preserve">- </w:t>
            </w:r>
            <w:r w:rsidR="00491645" w:rsidRPr="003A15E1">
              <w:rPr>
                <w:b/>
                <w:bCs/>
                <w:lang w:eastAsia="en-GB"/>
              </w:rPr>
              <w:t>Nu au fost identificate</w:t>
            </w:r>
          </w:p>
        </w:tc>
      </w:tr>
    </w:tbl>
    <w:p w14:paraId="2DB4CCB7" w14:textId="77777777" w:rsidR="003864F6" w:rsidRPr="005262E5" w:rsidRDefault="00DB715E" w:rsidP="008838DB">
      <w:pPr>
        <w:spacing w:after="120"/>
        <w:rPr>
          <w:b/>
        </w:rPr>
      </w:pPr>
      <w:r w:rsidRPr="005262E5">
        <w:rPr>
          <w:b/>
        </w:rPr>
        <w:lastRenderedPageBreak/>
        <w:t xml:space="preserve">   </w:t>
      </w:r>
      <w:r w:rsidR="007C16BF" w:rsidRPr="005262E5">
        <w:rPr>
          <w:b/>
        </w:rPr>
        <w:t xml:space="preserve">   </w:t>
      </w:r>
    </w:p>
    <w:p w14:paraId="4794020D" w14:textId="63498210" w:rsidR="00223491" w:rsidRPr="002E51DD" w:rsidRDefault="003864F6" w:rsidP="000E4B24">
      <w:pPr>
        <w:spacing w:after="120"/>
        <w:ind w:firstLine="720"/>
        <w:jc w:val="center"/>
        <w:rPr>
          <w:b/>
        </w:rPr>
      </w:pPr>
      <w:r w:rsidRPr="002E51DD">
        <w:rPr>
          <w:b/>
        </w:rPr>
        <w:t>Secțiunea</w:t>
      </w:r>
      <w:r w:rsidR="00670C79" w:rsidRPr="002E51DD">
        <w:rPr>
          <w:b/>
        </w:rPr>
        <w:t xml:space="preserve"> a 3-a</w:t>
      </w:r>
    </w:p>
    <w:p w14:paraId="4E4A7A8E" w14:textId="540C62E0" w:rsidR="00670C79" w:rsidRPr="002E51DD" w:rsidRDefault="00670C79" w:rsidP="000E4B24">
      <w:pPr>
        <w:spacing w:after="120"/>
        <w:ind w:firstLine="720"/>
        <w:jc w:val="center"/>
        <w:rPr>
          <w:b/>
        </w:rPr>
      </w:pPr>
      <w:r w:rsidRPr="002E51DD">
        <w:rPr>
          <w:b/>
        </w:rPr>
        <w:t>Impactul socioeconomic</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5262E5" w14:paraId="4F7B7B5A" w14:textId="77777777" w:rsidTr="007C07B3">
        <w:tc>
          <w:tcPr>
            <w:tcW w:w="10533" w:type="dxa"/>
          </w:tcPr>
          <w:p w14:paraId="612A275C" w14:textId="77777777" w:rsidR="00F72189" w:rsidRPr="005262E5" w:rsidRDefault="00F72189" w:rsidP="008838DB">
            <w:pPr>
              <w:spacing w:after="120"/>
              <w:jc w:val="both"/>
              <w:rPr>
                <w:b/>
              </w:rPr>
            </w:pPr>
            <w:r w:rsidRPr="002E51DD">
              <w:rPr>
                <w:b/>
              </w:rPr>
              <w:t>3.1 Descrierea generală a beneficiilor și costurilor estimate ca urmare a intrării în vigoare a actului normativ</w:t>
            </w:r>
          </w:p>
          <w:p w14:paraId="190C27FD" w14:textId="0A19FC83" w:rsidR="00FB45DC" w:rsidRPr="00DD3AC8" w:rsidRDefault="00F72189" w:rsidP="00C66683">
            <w:pPr>
              <w:spacing w:after="120"/>
              <w:jc w:val="both"/>
              <w:rPr>
                <w:b/>
              </w:rPr>
            </w:pPr>
            <w:r w:rsidRPr="005262E5">
              <w:rPr>
                <w:b/>
              </w:rPr>
              <w:t>3.2 Impactul social</w:t>
            </w:r>
          </w:p>
          <w:p w14:paraId="49F54BE2" w14:textId="50B6C0EC" w:rsidR="00FB45DC" w:rsidRPr="00DD3AC8" w:rsidRDefault="00F72189" w:rsidP="00C66683">
            <w:pPr>
              <w:spacing w:after="120"/>
              <w:jc w:val="both"/>
              <w:rPr>
                <w:b/>
              </w:rPr>
            </w:pPr>
            <w:r w:rsidRPr="005262E5">
              <w:rPr>
                <w:b/>
              </w:rPr>
              <w:t xml:space="preserve">3.3. Impactul asupra drepturilor și libertăților fundamentale ale omului </w:t>
            </w:r>
          </w:p>
          <w:p w14:paraId="139B6ECC" w14:textId="4CF6319F" w:rsidR="00FB45DC" w:rsidRDefault="00FD3526" w:rsidP="008838DB">
            <w:pPr>
              <w:spacing w:after="120"/>
              <w:jc w:val="both"/>
              <w:rPr>
                <w:b/>
              </w:rPr>
            </w:pPr>
            <w:r w:rsidRPr="005262E5">
              <w:rPr>
                <w:b/>
              </w:rPr>
              <w:t>3.4. Impactul macroeconomic</w:t>
            </w:r>
          </w:p>
          <w:p w14:paraId="558F0C01" w14:textId="77777777" w:rsidR="001C4BA6" w:rsidRPr="001C4BA6" w:rsidRDefault="001C4BA6" w:rsidP="001C4BA6">
            <w:pPr>
              <w:spacing w:after="120"/>
              <w:jc w:val="both"/>
            </w:pPr>
            <w:r w:rsidRPr="001C4BA6">
              <w:t>Finanțarea externă nerambursabilă ce va fi asigurată prin microgranturi și granturi pentru capital de lucru reprezintă o nevoie reală pentru pentru domeniul agroalimentar, cu impact major asupra echilibrelor macroeconimoce ale României.</w:t>
            </w:r>
          </w:p>
          <w:p w14:paraId="23D8F72C" w14:textId="0E13F5DA" w:rsidR="001C4BA6" w:rsidRPr="00DD3AC8" w:rsidRDefault="001C4BA6" w:rsidP="008838DB">
            <w:pPr>
              <w:spacing w:after="120"/>
              <w:jc w:val="both"/>
            </w:pPr>
            <w:r w:rsidRPr="001C4BA6">
              <w:t>Măsurile de sprijin acordate prin prezenta ordonanță pentru relansarea activității economice la nivel național influențează direct capacitatea entităților din domeniul agroalimentar, iar neadoptarea acestor măsuri de sprijin va avea ca efect grave dificultăți în desfășurarea activităților directe, precum și sincope ale fluxurilor de producție, cu impact direct asupra veniturilor la bugetului de stat, dar și asupra ratei șomajului la nive național.</w:t>
            </w:r>
          </w:p>
          <w:p w14:paraId="164EC38B" w14:textId="4863D9E5" w:rsidR="00F72189" w:rsidRPr="00CF4533" w:rsidRDefault="00F72189" w:rsidP="008838DB">
            <w:pPr>
              <w:spacing w:after="120"/>
              <w:jc w:val="both"/>
              <w:rPr>
                <w:b/>
              </w:rPr>
            </w:pPr>
            <w:r w:rsidRPr="00693C9A">
              <w:rPr>
                <w:b/>
              </w:rPr>
              <w:t>3.</w:t>
            </w:r>
            <w:r w:rsidR="00FD3526" w:rsidRPr="00693C9A">
              <w:rPr>
                <w:b/>
              </w:rPr>
              <w:t>4</w:t>
            </w:r>
            <w:r w:rsidRPr="007C607E">
              <w:rPr>
                <w:b/>
              </w:rPr>
              <w:t xml:space="preserve">.1 Impactul asupra </w:t>
            </w:r>
            <w:r w:rsidR="00FD3526" w:rsidRPr="0073697C">
              <w:rPr>
                <w:b/>
              </w:rPr>
              <w:t xml:space="preserve">economiei și asupra </w:t>
            </w:r>
            <w:r w:rsidRPr="002F265C">
              <w:rPr>
                <w:b/>
              </w:rPr>
              <w:t>principalilor indicatori macroeconomici</w:t>
            </w:r>
          </w:p>
          <w:p w14:paraId="0454CDCD" w14:textId="351F389B" w:rsidR="00C66683" w:rsidRPr="00210A61" w:rsidRDefault="00210A61" w:rsidP="00C66683">
            <w:pPr>
              <w:autoSpaceDE w:val="0"/>
              <w:autoSpaceDN w:val="0"/>
              <w:adjustRightInd w:val="0"/>
              <w:spacing w:after="120"/>
              <w:jc w:val="both"/>
              <w:rPr>
                <w:lang w:eastAsia="en-GB"/>
              </w:rPr>
            </w:pPr>
            <w:r>
              <w:rPr>
                <w:lang w:eastAsia="en-GB"/>
              </w:rPr>
              <w:t xml:space="preserve">    </w:t>
            </w:r>
            <w:r w:rsidR="00C66683" w:rsidRPr="00210A61">
              <w:rPr>
                <w:lang w:eastAsia="en-GB"/>
              </w:rPr>
              <w:t>Rezultatele acestor măsuri vor avea ca efect menținerea în activitate a PFA</w:t>
            </w:r>
            <w:r w:rsidR="00164759">
              <w:rPr>
                <w:lang w:eastAsia="en-GB"/>
              </w:rPr>
              <w:t xml:space="preserve">, </w:t>
            </w:r>
            <w:r w:rsidR="006C234F">
              <w:rPr>
                <w:lang w:eastAsia="en-GB"/>
              </w:rPr>
              <w:t>întreprinderilor individuale</w:t>
            </w:r>
            <w:r w:rsidR="00164759">
              <w:rPr>
                <w:lang w:eastAsia="en-GB"/>
              </w:rPr>
              <w:t>, societăților</w:t>
            </w:r>
            <w:r w:rsidR="00164759" w:rsidRPr="00164759">
              <w:rPr>
                <w:lang w:eastAsia="en-GB"/>
              </w:rPr>
              <w:t xml:space="preserve"> agr</w:t>
            </w:r>
            <w:r w:rsidR="00164759">
              <w:rPr>
                <w:lang w:eastAsia="en-GB"/>
              </w:rPr>
              <w:t>icole cooperative, cooperativelor agricole, grupurilor și organizațiilor</w:t>
            </w:r>
            <w:r w:rsidR="00164759" w:rsidRPr="00164759">
              <w:rPr>
                <w:lang w:eastAsia="en-GB"/>
              </w:rPr>
              <w:t xml:space="preserve"> de producători</w:t>
            </w:r>
            <w:r w:rsidR="00C66683" w:rsidRPr="00210A61">
              <w:rPr>
                <w:lang w:eastAsia="en-GB"/>
              </w:rPr>
              <w:t xml:space="preserve"> </w:t>
            </w:r>
            <w:r w:rsidR="00C66683" w:rsidRPr="00210A61">
              <w:rPr>
                <w:lang w:eastAsia="en-GB"/>
              </w:rPr>
              <w:lastRenderedPageBreak/>
              <w:t xml:space="preserve">sprijinite, microîntreprinderilor şi IMM-urilor, implicit a locurilor de muncă furnizate de acestea pe perioada în care se </w:t>
            </w:r>
            <w:r w:rsidR="00164759">
              <w:rPr>
                <w:lang w:eastAsia="en-GB"/>
              </w:rPr>
              <w:t>resimt acut în economie</w:t>
            </w:r>
            <w:r w:rsidR="00C66683" w:rsidRPr="00210A61">
              <w:rPr>
                <w:lang w:eastAsia="en-GB"/>
              </w:rPr>
              <w:t xml:space="preserve"> efectele </w:t>
            </w:r>
            <w:r>
              <w:rPr>
                <w:lang w:eastAsia="en-GB"/>
              </w:rPr>
              <w:t xml:space="preserve">pandemiei </w:t>
            </w:r>
            <w:r w:rsidR="00C66683" w:rsidRPr="00210A61">
              <w:rPr>
                <w:lang w:eastAsia="en-GB"/>
              </w:rPr>
              <w:t>COVID – 19.</w:t>
            </w:r>
          </w:p>
          <w:p w14:paraId="1B16924E" w14:textId="08F8FA62" w:rsidR="00FB45DC" w:rsidRPr="00693C9A" w:rsidRDefault="00C66683" w:rsidP="00C66683">
            <w:pPr>
              <w:autoSpaceDE w:val="0"/>
              <w:autoSpaceDN w:val="0"/>
              <w:adjustRightInd w:val="0"/>
              <w:spacing w:after="120"/>
              <w:jc w:val="both"/>
              <w:rPr>
                <w:lang w:eastAsia="en-GB"/>
              </w:rPr>
            </w:pPr>
            <w:r w:rsidRPr="007C607E">
              <w:rPr>
                <w:lang w:eastAsia="en-GB"/>
              </w:rPr>
              <w:t xml:space="preserve">Prin numărul mare de persoane angajate în </w:t>
            </w:r>
            <w:r w:rsidR="00CB094C">
              <w:rPr>
                <w:lang w:eastAsia="en-GB"/>
              </w:rPr>
              <w:t>domeniul agroalimentar</w:t>
            </w:r>
            <w:r w:rsidR="00CB094C" w:rsidRPr="007C607E">
              <w:rPr>
                <w:lang w:eastAsia="en-GB"/>
              </w:rPr>
              <w:t xml:space="preserve"> </w:t>
            </w:r>
            <w:r w:rsidRPr="007C607E">
              <w:rPr>
                <w:lang w:eastAsia="en-GB"/>
              </w:rPr>
              <w:t>corelat cu diversitatea de produse/servicii oferite, menținerea funcțională a s</w:t>
            </w:r>
            <w:r w:rsidR="00CB094C">
              <w:rPr>
                <w:lang w:eastAsia="en-GB"/>
              </w:rPr>
              <w:t>ectorului</w:t>
            </w:r>
            <w:r w:rsidRPr="007C607E">
              <w:rPr>
                <w:lang w:eastAsia="en-GB"/>
              </w:rPr>
              <w:t xml:space="preserve"> reprezintă o cerință fundamentală pentru traversarea perioadei </w:t>
            </w:r>
            <w:r w:rsidR="00693C9A">
              <w:rPr>
                <w:lang w:eastAsia="en-GB"/>
              </w:rPr>
              <w:t>post COVID -19</w:t>
            </w:r>
            <w:r w:rsidRPr="00693C9A">
              <w:rPr>
                <w:lang w:eastAsia="en-GB"/>
              </w:rPr>
              <w:t xml:space="preserve"> precum și revenirea economică rapidă.</w:t>
            </w:r>
          </w:p>
          <w:p w14:paraId="18C98DD5" w14:textId="6D8BDB13" w:rsidR="00F72189" w:rsidRPr="005262E5" w:rsidRDefault="00F72189" w:rsidP="008838DB">
            <w:pPr>
              <w:spacing w:after="120"/>
              <w:jc w:val="both"/>
              <w:rPr>
                <w:b/>
              </w:rPr>
            </w:pPr>
            <w:r w:rsidRPr="005262E5">
              <w:rPr>
                <w:b/>
              </w:rPr>
              <w:t>3.</w:t>
            </w:r>
            <w:r w:rsidR="00FD3526" w:rsidRPr="005262E5">
              <w:rPr>
                <w:b/>
              </w:rPr>
              <w:t>4</w:t>
            </w:r>
            <w:r w:rsidRPr="005262E5">
              <w:rPr>
                <w:b/>
              </w:rPr>
              <w:t>.2 Impactul asupra mediului concurențial si domeniul</w:t>
            </w:r>
            <w:r w:rsidR="00FB45DC" w:rsidRPr="005262E5">
              <w:rPr>
                <w:b/>
              </w:rPr>
              <w:t>ui</w:t>
            </w:r>
            <w:r w:rsidRPr="005262E5">
              <w:rPr>
                <w:b/>
              </w:rPr>
              <w:t xml:space="preserve"> ajutoarelor de stat</w:t>
            </w:r>
          </w:p>
          <w:p w14:paraId="70882B1B" w14:textId="4EA2F2CE" w:rsidR="00693C9A" w:rsidRDefault="00FB45DC" w:rsidP="008838DB">
            <w:pPr>
              <w:spacing w:after="120"/>
              <w:jc w:val="both"/>
            </w:pPr>
            <w:r w:rsidRPr="005262E5">
              <w:t xml:space="preserve">   </w:t>
            </w:r>
            <w:r w:rsidR="00DD3AC8">
              <w:t xml:space="preserve">  </w:t>
            </w:r>
            <w:r w:rsidRPr="005262E5">
              <w:t xml:space="preserve"> </w:t>
            </w:r>
            <w:r w:rsidR="00C66683" w:rsidRPr="000E4B24">
              <w:t xml:space="preserve">Prin corelarea măsurilor adoptate cu cele prevăzute în Comunicarea Comisiei privind Cadrul temporar în materie de ajutor de stat în contextul pandemiei COVID 19 se asigură compatibilitatea măsurilor de ajutor de stat avute în vedere cu legislația europeană în domeniu. </w:t>
            </w:r>
          </w:p>
          <w:p w14:paraId="1FC6F380" w14:textId="6A86E3FB" w:rsidR="00693C9A" w:rsidRDefault="00693C9A" w:rsidP="008838DB">
            <w:pPr>
              <w:spacing w:after="120"/>
              <w:jc w:val="both"/>
            </w:pPr>
            <w:r>
              <w:t xml:space="preserve">      A</w:t>
            </w:r>
            <w:r w:rsidR="00C66683" w:rsidRPr="000E4B24">
              <w:t>ceste m</w:t>
            </w:r>
            <w:r>
              <w:t>ă</w:t>
            </w:r>
            <w:r w:rsidR="00C66683" w:rsidRPr="000E4B24">
              <w:t>suri se vor acorda după obținerea deciziei de aprobare din partea C</w:t>
            </w:r>
            <w:r>
              <w:t>omisiei Europene</w:t>
            </w:r>
            <w:r w:rsidR="00C66683" w:rsidRPr="000E4B24">
              <w:t xml:space="preserve"> De asemenea</w:t>
            </w:r>
            <w:r>
              <w:t>,</w:t>
            </w:r>
            <w:r w:rsidR="00C66683" w:rsidRPr="000E4B24">
              <w:t xml:space="preserve"> larga aplicabilitate a măsurilor oferă posibilitatea tuturor microîntreprinderilor, întreprinderilor mici și mijlocii care au fost afectate în actualul context să beneficieze de facilitățile oferite.</w:t>
            </w:r>
          </w:p>
          <w:p w14:paraId="5D645A5F" w14:textId="50992FAD" w:rsidR="00F72189" w:rsidRPr="00CB69AF" w:rsidRDefault="00F72189" w:rsidP="008838DB">
            <w:pPr>
              <w:spacing w:after="120"/>
              <w:jc w:val="both"/>
              <w:rPr>
                <w:b/>
              </w:rPr>
            </w:pPr>
            <w:r w:rsidRPr="005262E5">
              <w:rPr>
                <w:b/>
              </w:rPr>
              <w:t>3.</w:t>
            </w:r>
            <w:r w:rsidR="00FD3526" w:rsidRPr="005262E5">
              <w:rPr>
                <w:b/>
              </w:rPr>
              <w:t>5</w:t>
            </w:r>
            <w:r w:rsidRPr="005262E5">
              <w:rPr>
                <w:b/>
              </w:rPr>
              <w:t>. Impactul asupra mediului de afaceri</w:t>
            </w:r>
          </w:p>
          <w:p w14:paraId="0CAB49E1" w14:textId="503FDA99" w:rsidR="00C656ED" w:rsidRPr="005262E5" w:rsidRDefault="00031D8D" w:rsidP="00DD3AC8">
            <w:pPr>
              <w:autoSpaceDE w:val="0"/>
              <w:autoSpaceDN w:val="0"/>
              <w:adjustRightInd w:val="0"/>
              <w:spacing w:after="120"/>
              <w:jc w:val="both"/>
              <w:rPr>
                <w:lang w:eastAsia="en-GB"/>
              </w:rPr>
            </w:pPr>
            <w:r w:rsidRPr="002870BF">
              <w:t xml:space="preserve">  </w:t>
            </w:r>
            <w:r w:rsidR="00DD3AC8">
              <w:t xml:space="preserve">   </w:t>
            </w:r>
            <w:r w:rsidR="00C656ED" w:rsidRPr="005262E5">
              <w:rPr>
                <w:noProof/>
              </w:rPr>
              <w:t xml:space="preserve">Impactul financiar va fi pozitiv prin menținerea în funcțiune a </w:t>
            </w:r>
            <w:r w:rsidR="00CB094C" w:rsidRPr="00CB094C">
              <w:rPr>
                <w:noProof/>
              </w:rPr>
              <w:t xml:space="preserve">PFA, </w:t>
            </w:r>
            <w:r w:rsidR="006C234F">
              <w:rPr>
                <w:noProof/>
              </w:rPr>
              <w:t>întreprinderilor individuale</w:t>
            </w:r>
            <w:r w:rsidR="00CB094C" w:rsidRPr="00CB094C">
              <w:rPr>
                <w:noProof/>
              </w:rPr>
              <w:t>, societăților agricole cooperative, cooperativelor agricole, grupurilor și organizațiilor de producători</w:t>
            </w:r>
            <w:r w:rsidR="00CB094C">
              <w:rPr>
                <w:noProof/>
              </w:rPr>
              <w:t xml:space="preserve">, </w:t>
            </w:r>
            <w:r w:rsidR="00C656ED" w:rsidRPr="005262E5">
              <w:rPr>
                <w:noProof/>
              </w:rPr>
              <w:t xml:space="preserve">microîntreprinderilor şi IMM-urilor existente implicit a numărului de angajați, situația actuală ducând spre o închidere masivă a </w:t>
            </w:r>
            <w:r w:rsidR="00CB094C">
              <w:rPr>
                <w:noProof/>
              </w:rPr>
              <w:t>întreprinderilor</w:t>
            </w:r>
            <w:r w:rsidR="00C656ED" w:rsidRPr="005262E5">
              <w:rPr>
                <w:noProof/>
              </w:rPr>
              <w:t xml:space="preserve"> fără intervenția statului printr-un ajutor consistent. </w:t>
            </w:r>
          </w:p>
          <w:p w14:paraId="01D97C4B" w14:textId="0F81F229" w:rsidR="00DD3AC8" w:rsidRDefault="00DD3AC8" w:rsidP="008838DB">
            <w:pPr>
              <w:spacing w:after="120"/>
              <w:jc w:val="both"/>
              <w:rPr>
                <w:noProof/>
              </w:rPr>
            </w:pPr>
            <w:r>
              <w:rPr>
                <w:noProof/>
              </w:rPr>
              <w:t xml:space="preserve">    </w:t>
            </w:r>
            <w:r w:rsidR="00C656ED" w:rsidRPr="005262E5">
              <w:rPr>
                <w:noProof/>
              </w:rPr>
              <w:t xml:space="preserve">În ceea ce privește stadiul actual al fondurilor disponibile din bugetul </w:t>
            </w:r>
            <w:r w:rsidR="00C656ED" w:rsidRPr="00814021">
              <w:rPr>
                <w:noProof/>
              </w:rPr>
              <w:t>P</w:t>
            </w:r>
            <w:r w:rsidR="00C656ED">
              <w:rPr>
                <w:noProof/>
              </w:rPr>
              <w:t>r</w:t>
            </w:r>
            <w:r w:rsidR="00CB094C">
              <w:rPr>
                <w:noProof/>
              </w:rPr>
              <w:t>o</w:t>
            </w:r>
            <w:r w:rsidR="00C656ED">
              <w:rPr>
                <w:noProof/>
              </w:rPr>
              <w:t xml:space="preserve">gramului </w:t>
            </w:r>
            <w:r w:rsidR="006C234F">
              <w:rPr>
                <w:noProof/>
              </w:rPr>
              <w:t>o</w:t>
            </w:r>
            <w:r w:rsidR="00C656ED">
              <w:rPr>
                <w:noProof/>
              </w:rPr>
              <w:t xml:space="preserve">perațional </w:t>
            </w:r>
            <w:r w:rsidR="00C656ED" w:rsidRPr="00814021">
              <w:rPr>
                <w:noProof/>
              </w:rPr>
              <w:t>C</w:t>
            </w:r>
            <w:r w:rsidR="00C656ED">
              <w:rPr>
                <w:noProof/>
              </w:rPr>
              <w:t>ompetitivitate</w:t>
            </w:r>
            <w:r w:rsidR="00C656ED" w:rsidRPr="00814021">
              <w:rPr>
                <w:noProof/>
              </w:rPr>
              <w:t xml:space="preserve">, </w:t>
            </w:r>
            <w:r w:rsidR="00C656ED">
              <w:rPr>
                <w:noProof/>
              </w:rPr>
              <w:t>v</w:t>
            </w:r>
            <w:r w:rsidR="00C656ED" w:rsidRPr="00814021">
              <w:rPr>
                <w:noProof/>
              </w:rPr>
              <w:t xml:space="preserve">aloarea contractelor de finanțare care se pot încheia </w:t>
            </w:r>
            <w:r w:rsidR="00C656ED">
              <w:rPr>
                <w:noProof/>
              </w:rPr>
              <w:t>î</w:t>
            </w:r>
            <w:r w:rsidR="00C656ED" w:rsidRPr="00814021">
              <w:rPr>
                <w:noProof/>
              </w:rPr>
              <w:t xml:space="preserve">ntre </w:t>
            </w:r>
            <w:r w:rsidR="00C656ED">
              <w:rPr>
                <w:noProof/>
              </w:rPr>
              <w:t>Ministerul Investițiilor și Proiectelor Europene</w:t>
            </w:r>
            <w:r w:rsidR="00C656ED" w:rsidRPr="00814021">
              <w:rPr>
                <w:noProof/>
              </w:rPr>
              <w:t xml:space="preserve"> prin </w:t>
            </w:r>
            <w:r w:rsidR="00C656ED">
              <w:rPr>
                <w:noProof/>
              </w:rPr>
              <w:t xml:space="preserve">autoritatea de management Program </w:t>
            </w:r>
            <w:r w:rsidR="006C234F">
              <w:rPr>
                <w:noProof/>
              </w:rPr>
              <w:t>o</w:t>
            </w:r>
            <w:r w:rsidR="00C656ED">
              <w:rPr>
                <w:noProof/>
              </w:rPr>
              <w:t xml:space="preserve">perațional Competitivitate </w:t>
            </w:r>
            <w:r w:rsidR="00C656ED" w:rsidRPr="00814021">
              <w:rPr>
                <w:noProof/>
              </w:rPr>
              <w:t xml:space="preserve">și </w:t>
            </w:r>
            <w:r w:rsidR="00C656ED">
              <w:rPr>
                <w:noProof/>
              </w:rPr>
              <w:t>Ministerul Antreprenoriatului și Turismului</w:t>
            </w:r>
            <w:r w:rsidR="00C656ED" w:rsidRPr="00814021">
              <w:rPr>
                <w:noProof/>
              </w:rPr>
              <w:t>, în sensul prezentului act normativ, este în limita valorii aprobate la care se aplică supracontractarea prevăzută de O</w:t>
            </w:r>
            <w:r w:rsidR="00C656ED">
              <w:rPr>
                <w:noProof/>
              </w:rPr>
              <w:t xml:space="preserve">rdonanța de urgență a Guvernului nr. </w:t>
            </w:r>
            <w:r w:rsidR="00C656ED" w:rsidRPr="00814021">
              <w:rPr>
                <w:noProof/>
              </w:rPr>
              <w:t>40/2015 privind gestionarea financiară a fondurilor europene pentru perioada de programare 2014-2020</w:t>
            </w:r>
            <w:r w:rsidR="00C656ED">
              <w:rPr>
                <w:noProof/>
              </w:rPr>
              <w:t xml:space="preserve">, </w:t>
            </w:r>
            <w:r w:rsidR="007B69AE" w:rsidRPr="007B69AE">
              <w:rPr>
                <w:noProof/>
              </w:rPr>
              <w:t>aprobată cu modificări și completări prin Legea nr. 105/2016, cu modificările și completările ulterioare</w:t>
            </w:r>
            <w:r>
              <w:rPr>
                <w:noProof/>
              </w:rPr>
              <w:t>.</w:t>
            </w:r>
            <w:r w:rsidR="007B69AE" w:rsidRPr="007B69AE" w:rsidDel="007B69AE">
              <w:rPr>
                <w:noProof/>
              </w:rPr>
              <w:t xml:space="preserve"> </w:t>
            </w:r>
          </w:p>
          <w:p w14:paraId="767A7594" w14:textId="4BCD8F84" w:rsidR="00C66683" w:rsidRPr="005262E5" w:rsidRDefault="00FD3526" w:rsidP="008838DB">
            <w:pPr>
              <w:spacing w:after="120"/>
              <w:jc w:val="both"/>
              <w:rPr>
                <w:b/>
              </w:rPr>
            </w:pPr>
            <w:r w:rsidRPr="00814021">
              <w:rPr>
                <w:b/>
              </w:rPr>
              <w:t>3.6 Impactul asupra mediului înconjurător</w:t>
            </w:r>
          </w:p>
          <w:p w14:paraId="4590BA78" w14:textId="280799F7" w:rsidR="00031D8D" w:rsidRPr="005262E5" w:rsidRDefault="00FD3526" w:rsidP="00C66683">
            <w:pPr>
              <w:spacing w:after="120"/>
              <w:jc w:val="both"/>
              <w:rPr>
                <w:b/>
                <w:bCs/>
              </w:rPr>
            </w:pPr>
            <w:r w:rsidRPr="005262E5">
              <w:rPr>
                <w:b/>
                <w:bCs/>
              </w:rPr>
              <w:t>3.7. Evaluarea costurilor și beneficiilor din perspectiva inovării și digitalizării</w:t>
            </w:r>
          </w:p>
          <w:p w14:paraId="7B844AB9" w14:textId="77777777" w:rsidR="00DD3AC8" w:rsidRDefault="00FD3526" w:rsidP="008F7D4B">
            <w:pPr>
              <w:spacing w:after="120"/>
              <w:jc w:val="both"/>
              <w:rPr>
                <w:b/>
                <w:bCs/>
              </w:rPr>
            </w:pPr>
            <w:r w:rsidRPr="005262E5">
              <w:rPr>
                <w:b/>
                <w:bCs/>
              </w:rPr>
              <w:t>3.8 Evaluarea costurilor și beneficiilor din perspectiva dezvoltării durabile</w:t>
            </w:r>
          </w:p>
          <w:p w14:paraId="041FB550" w14:textId="1D33A2C1" w:rsidR="00FD3526" w:rsidRPr="005262E5" w:rsidRDefault="00FD3526" w:rsidP="008F7D4B">
            <w:pPr>
              <w:spacing w:after="120"/>
              <w:jc w:val="both"/>
              <w:rPr>
                <w:b/>
                <w:bCs/>
              </w:rPr>
            </w:pPr>
            <w:r w:rsidRPr="005262E5">
              <w:rPr>
                <w:b/>
                <w:bCs/>
              </w:rPr>
              <w:t>3.9. Alte informații</w:t>
            </w:r>
          </w:p>
        </w:tc>
      </w:tr>
    </w:tbl>
    <w:p w14:paraId="40C7093F" w14:textId="5C8B0A07" w:rsidR="0025682E" w:rsidRPr="005262E5" w:rsidRDefault="0025682E" w:rsidP="008838DB">
      <w:pPr>
        <w:spacing w:after="120"/>
        <w:ind w:left="180"/>
        <w:jc w:val="both"/>
        <w:rPr>
          <w:b/>
        </w:rPr>
      </w:pPr>
    </w:p>
    <w:p w14:paraId="20A2BC5C" w14:textId="3FA071EE" w:rsidR="005A13C5" w:rsidRPr="00814021" w:rsidRDefault="00670C79" w:rsidP="000E4B24">
      <w:pPr>
        <w:spacing w:after="120"/>
        <w:ind w:firstLine="720"/>
        <w:jc w:val="center"/>
        <w:rPr>
          <w:b/>
        </w:rPr>
      </w:pPr>
      <w:r w:rsidRPr="00814021">
        <w:rPr>
          <w:b/>
        </w:rPr>
        <w:t>Secţiunea a 4-a</w:t>
      </w:r>
    </w:p>
    <w:p w14:paraId="34AED0C5" w14:textId="0EFEE736" w:rsidR="00670C79" w:rsidRPr="00814021" w:rsidRDefault="00670C79" w:rsidP="000E4B24">
      <w:pPr>
        <w:spacing w:after="120"/>
        <w:ind w:firstLine="720"/>
        <w:jc w:val="center"/>
        <w:rPr>
          <w:b/>
        </w:rPr>
      </w:pPr>
      <w:r w:rsidRPr="00814021">
        <w:rPr>
          <w:b/>
        </w:rPr>
        <w:t xml:space="preserve">Impactul financiar asupra bugetului </w:t>
      </w:r>
      <w:r w:rsidR="0064777F" w:rsidRPr="00814021">
        <w:rPr>
          <w:b/>
        </w:rPr>
        <w:t>general</w:t>
      </w:r>
      <w:r w:rsidRPr="00814021">
        <w:rPr>
          <w:b/>
        </w:rPr>
        <w:t xml:space="preserve"> consolidat atât pe termen scurt, pentru</w:t>
      </w:r>
      <w:r w:rsidR="00DB71DB" w:rsidRPr="00814021">
        <w:rPr>
          <w:b/>
        </w:rPr>
        <w:t xml:space="preserve"> </w:t>
      </w:r>
      <w:r w:rsidRPr="00814021">
        <w:rPr>
          <w:b/>
        </w:rPr>
        <w:t>anul curent, cât şi pe termen lung (pe 5 ani)</w:t>
      </w:r>
      <w:r w:rsidR="003034B1" w:rsidRPr="00814021">
        <w:rPr>
          <w:b/>
        </w:rPr>
        <w:t>, inclusiv informații cu privire la cheltuieli și venituri</w:t>
      </w:r>
      <w:r w:rsidR="0064777F" w:rsidRPr="00814021">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AB30EB" w:rsidRPr="005262E5" w14:paraId="0C843357" w14:textId="77777777" w:rsidTr="0037486B">
        <w:tc>
          <w:tcPr>
            <w:tcW w:w="10533" w:type="dxa"/>
            <w:gridSpan w:val="7"/>
          </w:tcPr>
          <w:p w14:paraId="33061C9B" w14:textId="7824EB12" w:rsidR="009A76F9" w:rsidRPr="00814021" w:rsidRDefault="009A76F9" w:rsidP="008838DB">
            <w:pPr>
              <w:pStyle w:val="ListParagraph"/>
              <w:numPr>
                <w:ilvl w:val="0"/>
                <w:numId w:val="13"/>
              </w:numPr>
              <w:spacing w:after="120"/>
              <w:jc w:val="right"/>
              <w:rPr>
                <w:rFonts w:ascii="Times New Roman" w:hAnsi="Times New Roman" w:cs="Times New Roman"/>
              </w:rPr>
            </w:pPr>
            <w:r w:rsidRPr="00814021">
              <w:rPr>
                <w:rFonts w:ascii="Times New Roman" w:hAnsi="Times New Roman" w:cs="Times New Roman"/>
              </w:rPr>
              <w:t>În mii lei (RON)</w:t>
            </w:r>
          </w:p>
        </w:tc>
      </w:tr>
      <w:tr w:rsidR="00AB30EB" w:rsidRPr="005262E5" w14:paraId="57D824B3" w14:textId="77777777" w:rsidTr="005A13C5">
        <w:tc>
          <w:tcPr>
            <w:tcW w:w="2694" w:type="dxa"/>
          </w:tcPr>
          <w:p w14:paraId="318BEE35" w14:textId="77777777" w:rsidR="00670C79" w:rsidRPr="005262E5" w:rsidRDefault="00670C79" w:rsidP="008838DB">
            <w:pPr>
              <w:pStyle w:val="Heading2"/>
              <w:spacing w:after="120"/>
              <w:rPr>
                <w:sz w:val="24"/>
              </w:rPr>
            </w:pPr>
            <w:r w:rsidRPr="005262E5">
              <w:rPr>
                <w:sz w:val="24"/>
              </w:rPr>
              <w:t>Indicatori</w:t>
            </w:r>
          </w:p>
        </w:tc>
        <w:tc>
          <w:tcPr>
            <w:tcW w:w="1058" w:type="dxa"/>
          </w:tcPr>
          <w:p w14:paraId="603E3C85" w14:textId="129C77CD" w:rsidR="00670C79" w:rsidRPr="005262E5" w:rsidRDefault="00670C79" w:rsidP="008838DB">
            <w:pPr>
              <w:spacing w:after="120"/>
              <w:jc w:val="center"/>
            </w:pPr>
            <w:r w:rsidRPr="005262E5">
              <w:t>An</w:t>
            </w:r>
            <w:r w:rsidR="009A76F9" w:rsidRPr="005262E5">
              <w:t>ul</w:t>
            </w:r>
            <w:r w:rsidRPr="005262E5">
              <w:t xml:space="preserve"> curent</w:t>
            </w:r>
          </w:p>
        </w:tc>
        <w:tc>
          <w:tcPr>
            <w:tcW w:w="5333" w:type="dxa"/>
            <w:gridSpan w:val="4"/>
          </w:tcPr>
          <w:p w14:paraId="4EA4AF47" w14:textId="77777777" w:rsidR="00670C79" w:rsidRPr="005262E5" w:rsidRDefault="00670C79" w:rsidP="008838DB">
            <w:pPr>
              <w:spacing w:after="120"/>
              <w:jc w:val="center"/>
            </w:pPr>
            <w:r w:rsidRPr="005262E5">
              <w:t>Următorii 4 ani</w:t>
            </w:r>
          </w:p>
        </w:tc>
        <w:tc>
          <w:tcPr>
            <w:tcW w:w="1448" w:type="dxa"/>
          </w:tcPr>
          <w:p w14:paraId="1EE52564" w14:textId="74A4CFA0" w:rsidR="00670C79" w:rsidRPr="005262E5" w:rsidRDefault="00670C79" w:rsidP="008838DB">
            <w:pPr>
              <w:spacing w:after="120"/>
              <w:jc w:val="center"/>
            </w:pPr>
            <w:r w:rsidRPr="005262E5">
              <w:t xml:space="preserve">Media </w:t>
            </w:r>
            <w:r w:rsidR="009A76F9" w:rsidRPr="005262E5">
              <w:t>pe</w:t>
            </w:r>
            <w:r w:rsidRPr="005262E5">
              <w:t xml:space="preserve"> 5 ani</w:t>
            </w:r>
          </w:p>
        </w:tc>
      </w:tr>
      <w:tr w:rsidR="00AB30EB" w:rsidRPr="005262E5" w14:paraId="31AEB740" w14:textId="77777777" w:rsidTr="005A13C5">
        <w:tc>
          <w:tcPr>
            <w:tcW w:w="2694" w:type="dxa"/>
          </w:tcPr>
          <w:p w14:paraId="1A04C9C9" w14:textId="77777777" w:rsidR="00670C79" w:rsidRPr="005262E5" w:rsidRDefault="00670C79" w:rsidP="008838DB">
            <w:pPr>
              <w:spacing w:after="120"/>
              <w:jc w:val="center"/>
            </w:pPr>
            <w:r w:rsidRPr="005262E5">
              <w:t>1</w:t>
            </w:r>
          </w:p>
        </w:tc>
        <w:tc>
          <w:tcPr>
            <w:tcW w:w="1058" w:type="dxa"/>
            <w:vAlign w:val="center"/>
          </w:tcPr>
          <w:p w14:paraId="44BDE6EE" w14:textId="77777777" w:rsidR="00670C79" w:rsidRPr="005262E5" w:rsidRDefault="00670C79" w:rsidP="008838DB">
            <w:pPr>
              <w:spacing w:after="120"/>
              <w:jc w:val="center"/>
            </w:pPr>
            <w:r w:rsidRPr="005262E5">
              <w:t>2</w:t>
            </w:r>
          </w:p>
        </w:tc>
        <w:tc>
          <w:tcPr>
            <w:tcW w:w="1366" w:type="dxa"/>
            <w:vAlign w:val="center"/>
          </w:tcPr>
          <w:p w14:paraId="44511A2B" w14:textId="77777777" w:rsidR="00670C79" w:rsidRPr="005262E5" w:rsidRDefault="00670C79" w:rsidP="008838DB">
            <w:pPr>
              <w:spacing w:after="120"/>
              <w:jc w:val="center"/>
            </w:pPr>
            <w:r w:rsidRPr="005262E5">
              <w:t>3</w:t>
            </w:r>
          </w:p>
        </w:tc>
        <w:tc>
          <w:tcPr>
            <w:tcW w:w="1466" w:type="dxa"/>
            <w:vAlign w:val="center"/>
          </w:tcPr>
          <w:p w14:paraId="7665B810" w14:textId="77777777" w:rsidR="00670C79" w:rsidRPr="005262E5" w:rsidRDefault="00670C79" w:rsidP="008838DB">
            <w:pPr>
              <w:spacing w:after="120"/>
              <w:jc w:val="center"/>
            </w:pPr>
            <w:r w:rsidRPr="005262E5">
              <w:t>4</w:t>
            </w:r>
          </w:p>
        </w:tc>
        <w:tc>
          <w:tcPr>
            <w:tcW w:w="1366" w:type="dxa"/>
            <w:vAlign w:val="center"/>
          </w:tcPr>
          <w:p w14:paraId="375332DA" w14:textId="77777777" w:rsidR="00670C79" w:rsidRPr="005262E5" w:rsidRDefault="00670C79" w:rsidP="008838DB">
            <w:pPr>
              <w:spacing w:after="120"/>
              <w:jc w:val="center"/>
            </w:pPr>
            <w:r w:rsidRPr="005262E5">
              <w:t>5</w:t>
            </w:r>
          </w:p>
        </w:tc>
        <w:tc>
          <w:tcPr>
            <w:tcW w:w="1135" w:type="dxa"/>
            <w:vAlign w:val="center"/>
          </w:tcPr>
          <w:p w14:paraId="0DD2A48C" w14:textId="77777777" w:rsidR="00670C79" w:rsidRPr="005262E5" w:rsidRDefault="00670C79" w:rsidP="008838DB">
            <w:pPr>
              <w:spacing w:after="120"/>
              <w:jc w:val="center"/>
            </w:pPr>
            <w:r w:rsidRPr="005262E5">
              <w:t>6</w:t>
            </w:r>
          </w:p>
        </w:tc>
        <w:tc>
          <w:tcPr>
            <w:tcW w:w="1448" w:type="dxa"/>
            <w:vAlign w:val="center"/>
          </w:tcPr>
          <w:p w14:paraId="64FF500C" w14:textId="77777777" w:rsidR="00670C79" w:rsidRPr="005262E5" w:rsidRDefault="00670C79" w:rsidP="008838DB">
            <w:pPr>
              <w:spacing w:after="120"/>
              <w:jc w:val="center"/>
            </w:pPr>
            <w:r w:rsidRPr="005262E5">
              <w:t>7</w:t>
            </w:r>
          </w:p>
        </w:tc>
      </w:tr>
      <w:tr w:rsidR="00AB30EB" w:rsidRPr="005262E5" w14:paraId="24F374CE" w14:textId="77777777" w:rsidTr="005A13C5">
        <w:tc>
          <w:tcPr>
            <w:tcW w:w="2694" w:type="dxa"/>
          </w:tcPr>
          <w:p w14:paraId="7075F3AB" w14:textId="3D2A3576" w:rsidR="0025682E" w:rsidRPr="005262E5" w:rsidRDefault="00CD28D5" w:rsidP="008838DB">
            <w:pPr>
              <w:spacing w:after="120"/>
              <w:jc w:val="both"/>
              <w:rPr>
                <w:b/>
                <w:bCs/>
              </w:rPr>
            </w:pPr>
            <w:r w:rsidRPr="005262E5">
              <w:rPr>
                <w:b/>
                <w:bCs/>
              </w:rPr>
              <w:t>4.</w:t>
            </w:r>
            <w:r w:rsidR="00670C79" w:rsidRPr="005262E5">
              <w:rPr>
                <w:b/>
                <w:bCs/>
              </w:rPr>
              <w:t>1.</w:t>
            </w:r>
            <w:r w:rsidRPr="005262E5">
              <w:rPr>
                <w:b/>
                <w:bCs/>
              </w:rPr>
              <w:t xml:space="preserve"> </w:t>
            </w:r>
            <w:r w:rsidR="00670C79" w:rsidRPr="005262E5">
              <w:rPr>
                <w:b/>
                <w:bCs/>
              </w:rPr>
              <w:t>Modificări ale veniturilor bugetare, plus/minus, din care:</w:t>
            </w:r>
          </w:p>
        </w:tc>
        <w:tc>
          <w:tcPr>
            <w:tcW w:w="1058" w:type="dxa"/>
          </w:tcPr>
          <w:p w14:paraId="7811CDB2" w14:textId="3A20122E" w:rsidR="00670C79" w:rsidRPr="005262E5" w:rsidRDefault="00C66683" w:rsidP="008838DB">
            <w:pPr>
              <w:pStyle w:val="BodyText2"/>
              <w:spacing w:after="120"/>
              <w:rPr>
                <w:sz w:val="24"/>
              </w:rPr>
            </w:pPr>
            <w:r w:rsidRPr="005262E5">
              <w:rPr>
                <w:sz w:val="24"/>
              </w:rPr>
              <w:t>-</w:t>
            </w:r>
          </w:p>
        </w:tc>
        <w:tc>
          <w:tcPr>
            <w:tcW w:w="1366" w:type="dxa"/>
          </w:tcPr>
          <w:p w14:paraId="5E0D1921" w14:textId="7B663DC2" w:rsidR="00670C79" w:rsidRPr="005262E5" w:rsidRDefault="00C66683" w:rsidP="008838DB">
            <w:pPr>
              <w:pStyle w:val="BodyText2"/>
              <w:spacing w:after="120"/>
              <w:rPr>
                <w:sz w:val="24"/>
              </w:rPr>
            </w:pPr>
            <w:r w:rsidRPr="005262E5">
              <w:rPr>
                <w:sz w:val="24"/>
              </w:rPr>
              <w:t>-</w:t>
            </w:r>
          </w:p>
        </w:tc>
        <w:tc>
          <w:tcPr>
            <w:tcW w:w="1466" w:type="dxa"/>
          </w:tcPr>
          <w:p w14:paraId="3789DD62" w14:textId="1C5C2D85" w:rsidR="00670C79" w:rsidRPr="005262E5" w:rsidRDefault="00C66683" w:rsidP="008838DB">
            <w:pPr>
              <w:pStyle w:val="BodyText2"/>
              <w:spacing w:after="120"/>
              <w:rPr>
                <w:sz w:val="24"/>
              </w:rPr>
            </w:pPr>
            <w:r w:rsidRPr="005262E5">
              <w:rPr>
                <w:sz w:val="24"/>
              </w:rPr>
              <w:t>-</w:t>
            </w:r>
          </w:p>
        </w:tc>
        <w:tc>
          <w:tcPr>
            <w:tcW w:w="1366" w:type="dxa"/>
          </w:tcPr>
          <w:p w14:paraId="3EFEBCA3" w14:textId="174B0C7A" w:rsidR="00670C79" w:rsidRPr="005262E5" w:rsidRDefault="00C66683" w:rsidP="008838DB">
            <w:pPr>
              <w:pStyle w:val="BodyText2"/>
              <w:spacing w:after="120"/>
              <w:rPr>
                <w:sz w:val="24"/>
              </w:rPr>
            </w:pPr>
            <w:r w:rsidRPr="005262E5">
              <w:rPr>
                <w:sz w:val="24"/>
              </w:rPr>
              <w:t>-</w:t>
            </w:r>
          </w:p>
        </w:tc>
        <w:tc>
          <w:tcPr>
            <w:tcW w:w="1135" w:type="dxa"/>
          </w:tcPr>
          <w:p w14:paraId="4D97905B" w14:textId="352A70E6" w:rsidR="00670C79" w:rsidRPr="005262E5" w:rsidRDefault="00C66683" w:rsidP="008838DB">
            <w:pPr>
              <w:pStyle w:val="BodyText2"/>
              <w:spacing w:after="120"/>
              <w:rPr>
                <w:sz w:val="24"/>
              </w:rPr>
            </w:pPr>
            <w:r w:rsidRPr="005262E5">
              <w:rPr>
                <w:sz w:val="24"/>
              </w:rPr>
              <w:t>-</w:t>
            </w:r>
          </w:p>
        </w:tc>
        <w:tc>
          <w:tcPr>
            <w:tcW w:w="1448" w:type="dxa"/>
          </w:tcPr>
          <w:p w14:paraId="4A89D66A" w14:textId="3839F375" w:rsidR="00670C79" w:rsidRPr="005262E5" w:rsidRDefault="00C66683" w:rsidP="008838DB">
            <w:pPr>
              <w:pStyle w:val="BodyText2"/>
              <w:spacing w:after="120"/>
              <w:rPr>
                <w:sz w:val="24"/>
              </w:rPr>
            </w:pPr>
            <w:r w:rsidRPr="005262E5">
              <w:rPr>
                <w:sz w:val="24"/>
              </w:rPr>
              <w:t>-</w:t>
            </w:r>
          </w:p>
        </w:tc>
      </w:tr>
      <w:tr w:rsidR="00AB30EB" w:rsidRPr="005262E5" w14:paraId="7E845381" w14:textId="77777777" w:rsidTr="005A13C5">
        <w:tc>
          <w:tcPr>
            <w:tcW w:w="2694" w:type="dxa"/>
          </w:tcPr>
          <w:p w14:paraId="25792053" w14:textId="77777777" w:rsidR="00C66683" w:rsidRPr="005262E5" w:rsidRDefault="00C66683" w:rsidP="00C66683">
            <w:pPr>
              <w:spacing w:after="120"/>
              <w:jc w:val="both"/>
            </w:pPr>
            <w:r w:rsidRPr="005262E5">
              <w:t>a) bugetul de stat, din acesta:</w:t>
            </w:r>
          </w:p>
          <w:p w14:paraId="32D9DBFB" w14:textId="15A036BA" w:rsidR="00C66683" w:rsidRPr="005262E5" w:rsidRDefault="00C66683" w:rsidP="00C66683">
            <w:pPr>
              <w:spacing w:after="120"/>
              <w:jc w:val="both"/>
            </w:pPr>
            <w:r w:rsidRPr="005262E5">
              <w:lastRenderedPageBreak/>
              <w:t>(i) impozit pe profit</w:t>
            </w:r>
          </w:p>
          <w:p w14:paraId="67C4E169" w14:textId="0BD99910" w:rsidR="00C66683" w:rsidRPr="005262E5" w:rsidRDefault="00C66683" w:rsidP="00C66683">
            <w:pPr>
              <w:spacing w:after="120"/>
              <w:jc w:val="both"/>
            </w:pPr>
            <w:r w:rsidRPr="005262E5">
              <w:t>(ii) impozit pe venit</w:t>
            </w:r>
          </w:p>
        </w:tc>
        <w:tc>
          <w:tcPr>
            <w:tcW w:w="1058" w:type="dxa"/>
          </w:tcPr>
          <w:p w14:paraId="07086A97" w14:textId="55D7339E" w:rsidR="00C66683" w:rsidRPr="005262E5" w:rsidRDefault="00C66683" w:rsidP="00C66683">
            <w:pPr>
              <w:pStyle w:val="BodyText2"/>
              <w:spacing w:after="120"/>
              <w:rPr>
                <w:sz w:val="24"/>
              </w:rPr>
            </w:pPr>
            <w:r w:rsidRPr="005262E5">
              <w:rPr>
                <w:sz w:val="24"/>
              </w:rPr>
              <w:lastRenderedPageBreak/>
              <w:t>-</w:t>
            </w:r>
          </w:p>
        </w:tc>
        <w:tc>
          <w:tcPr>
            <w:tcW w:w="1366" w:type="dxa"/>
          </w:tcPr>
          <w:p w14:paraId="68EDD67B" w14:textId="3BE405EC" w:rsidR="00C66683" w:rsidRPr="005262E5" w:rsidRDefault="00C66683" w:rsidP="00C66683">
            <w:pPr>
              <w:pStyle w:val="BodyText2"/>
              <w:spacing w:after="120"/>
              <w:rPr>
                <w:sz w:val="24"/>
              </w:rPr>
            </w:pPr>
            <w:r w:rsidRPr="005262E5">
              <w:rPr>
                <w:sz w:val="24"/>
              </w:rPr>
              <w:t>-</w:t>
            </w:r>
          </w:p>
        </w:tc>
        <w:tc>
          <w:tcPr>
            <w:tcW w:w="1466" w:type="dxa"/>
          </w:tcPr>
          <w:p w14:paraId="074A0C4C" w14:textId="35C3FA30" w:rsidR="00C66683" w:rsidRPr="005262E5" w:rsidRDefault="00C66683" w:rsidP="00C66683">
            <w:pPr>
              <w:pStyle w:val="BodyText2"/>
              <w:spacing w:after="120"/>
              <w:rPr>
                <w:sz w:val="24"/>
              </w:rPr>
            </w:pPr>
            <w:r w:rsidRPr="005262E5">
              <w:rPr>
                <w:sz w:val="24"/>
              </w:rPr>
              <w:t>-</w:t>
            </w:r>
          </w:p>
        </w:tc>
        <w:tc>
          <w:tcPr>
            <w:tcW w:w="1366" w:type="dxa"/>
          </w:tcPr>
          <w:p w14:paraId="3EC66A65" w14:textId="3A61D9E8" w:rsidR="00C66683" w:rsidRPr="005262E5" w:rsidRDefault="00C66683" w:rsidP="00C66683">
            <w:pPr>
              <w:pStyle w:val="BodyText2"/>
              <w:spacing w:after="120"/>
              <w:rPr>
                <w:sz w:val="24"/>
              </w:rPr>
            </w:pPr>
            <w:r w:rsidRPr="005262E5">
              <w:rPr>
                <w:sz w:val="24"/>
              </w:rPr>
              <w:t>-</w:t>
            </w:r>
          </w:p>
        </w:tc>
        <w:tc>
          <w:tcPr>
            <w:tcW w:w="1135" w:type="dxa"/>
          </w:tcPr>
          <w:p w14:paraId="5CEC73AA" w14:textId="56F16449" w:rsidR="00C66683" w:rsidRPr="005262E5" w:rsidRDefault="00C66683" w:rsidP="00C66683">
            <w:pPr>
              <w:pStyle w:val="BodyText2"/>
              <w:spacing w:after="120"/>
              <w:rPr>
                <w:sz w:val="24"/>
              </w:rPr>
            </w:pPr>
            <w:r w:rsidRPr="005262E5">
              <w:rPr>
                <w:sz w:val="24"/>
              </w:rPr>
              <w:t>-</w:t>
            </w:r>
          </w:p>
        </w:tc>
        <w:tc>
          <w:tcPr>
            <w:tcW w:w="1448" w:type="dxa"/>
          </w:tcPr>
          <w:p w14:paraId="761E2BD4" w14:textId="05A1178B" w:rsidR="00C66683" w:rsidRPr="005262E5" w:rsidRDefault="00C66683" w:rsidP="00C66683">
            <w:pPr>
              <w:pStyle w:val="BodyText2"/>
              <w:spacing w:after="120"/>
              <w:rPr>
                <w:sz w:val="24"/>
              </w:rPr>
            </w:pPr>
            <w:r w:rsidRPr="005262E5">
              <w:rPr>
                <w:sz w:val="24"/>
              </w:rPr>
              <w:t>-</w:t>
            </w:r>
          </w:p>
        </w:tc>
      </w:tr>
      <w:tr w:rsidR="00AB30EB" w:rsidRPr="005262E5" w14:paraId="6771B99C" w14:textId="77777777" w:rsidTr="005A13C5">
        <w:tc>
          <w:tcPr>
            <w:tcW w:w="2694" w:type="dxa"/>
          </w:tcPr>
          <w:p w14:paraId="6A8A0E7F" w14:textId="577483D3" w:rsidR="00C66683" w:rsidRPr="005262E5" w:rsidRDefault="00C66683" w:rsidP="00C66683">
            <w:pPr>
              <w:spacing w:after="120"/>
              <w:jc w:val="both"/>
            </w:pPr>
            <w:r w:rsidRPr="005262E5">
              <w:t>b) bugete locale:</w:t>
            </w:r>
          </w:p>
          <w:p w14:paraId="3B0FCECB" w14:textId="7AB36B1B" w:rsidR="00C66683" w:rsidRPr="005262E5" w:rsidRDefault="00C66683" w:rsidP="00C66683">
            <w:pPr>
              <w:spacing w:after="120"/>
              <w:jc w:val="both"/>
            </w:pPr>
            <w:r w:rsidRPr="005262E5">
              <w:t>(i) impozit pe profit</w:t>
            </w:r>
          </w:p>
        </w:tc>
        <w:tc>
          <w:tcPr>
            <w:tcW w:w="1058" w:type="dxa"/>
          </w:tcPr>
          <w:p w14:paraId="687D0BEC" w14:textId="1010ECDE" w:rsidR="00C66683" w:rsidRPr="005262E5" w:rsidRDefault="00C66683" w:rsidP="00C66683">
            <w:pPr>
              <w:pStyle w:val="BodyText2"/>
              <w:spacing w:after="120"/>
              <w:rPr>
                <w:sz w:val="24"/>
              </w:rPr>
            </w:pPr>
            <w:r w:rsidRPr="005262E5">
              <w:rPr>
                <w:sz w:val="24"/>
              </w:rPr>
              <w:t>-</w:t>
            </w:r>
          </w:p>
        </w:tc>
        <w:tc>
          <w:tcPr>
            <w:tcW w:w="1366" w:type="dxa"/>
          </w:tcPr>
          <w:p w14:paraId="203F5632" w14:textId="745BAB0E" w:rsidR="00C66683" w:rsidRPr="005262E5" w:rsidRDefault="00C66683" w:rsidP="00C66683">
            <w:pPr>
              <w:pStyle w:val="BodyText2"/>
              <w:spacing w:after="120"/>
              <w:rPr>
                <w:sz w:val="24"/>
              </w:rPr>
            </w:pPr>
            <w:r w:rsidRPr="005262E5">
              <w:rPr>
                <w:sz w:val="24"/>
              </w:rPr>
              <w:t>-</w:t>
            </w:r>
          </w:p>
        </w:tc>
        <w:tc>
          <w:tcPr>
            <w:tcW w:w="1466" w:type="dxa"/>
          </w:tcPr>
          <w:p w14:paraId="38DA8080" w14:textId="7BBE30F1" w:rsidR="00C66683" w:rsidRPr="005262E5" w:rsidRDefault="00C66683" w:rsidP="00C66683">
            <w:pPr>
              <w:pStyle w:val="BodyText2"/>
              <w:spacing w:after="120"/>
              <w:rPr>
                <w:sz w:val="24"/>
              </w:rPr>
            </w:pPr>
            <w:r w:rsidRPr="005262E5">
              <w:rPr>
                <w:sz w:val="24"/>
              </w:rPr>
              <w:t>-</w:t>
            </w:r>
          </w:p>
        </w:tc>
        <w:tc>
          <w:tcPr>
            <w:tcW w:w="1366" w:type="dxa"/>
          </w:tcPr>
          <w:p w14:paraId="31807B27" w14:textId="4A688D4E" w:rsidR="00C66683" w:rsidRPr="005262E5" w:rsidRDefault="00C66683" w:rsidP="00C66683">
            <w:pPr>
              <w:pStyle w:val="BodyText2"/>
              <w:spacing w:after="120"/>
              <w:rPr>
                <w:sz w:val="24"/>
              </w:rPr>
            </w:pPr>
            <w:r w:rsidRPr="005262E5">
              <w:rPr>
                <w:sz w:val="24"/>
              </w:rPr>
              <w:t>-</w:t>
            </w:r>
          </w:p>
        </w:tc>
        <w:tc>
          <w:tcPr>
            <w:tcW w:w="1135" w:type="dxa"/>
          </w:tcPr>
          <w:p w14:paraId="29015A0A" w14:textId="2801B7A3" w:rsidR="00C66683" w:rsidRPr="005262E5" w:rsidRDefault="00C66683" w:rsidP="00C66683">
            <w:pPr>
              <w:pStyle w:val="BodyText2"/>
              <w:spacing w:after="120"/>
              <w:rPr>
                <w:sz w:val="24"/>
              </w:rPr>
            </w:pPr>
            <w:r w:rsidRPr="005262E5">
              <w:rPr>
                <w:sz w:val="24"/>
              </w:rPr>
              <w:t>-</w:t>
            </w:r>
          </w:p>
        </w:tc>
        <w:tc>
          <w:tcPr>
            <w:tcW w:w="1448" w:type="dxa"/>
          </w:tcPr>
          <w:p w14:paraId="33E8076D" w14:textId="64EEBAEF" w:rsidR="00C66683" w:rsidRPr="005262E5" w:rsidRDefault="00C66683" w:rsidP="00C66683">
            <w:pPr>
              <w:pStyle w:val="BodyText2"/>
              <w:spacing w:after="120"/>
              <w:rPr>
                <w:sz w:val="24"/>
              </w:rPr>
            </w:pPr>
            <w:r w:rsidRPr="005262E5">
              <w:rPr>
                <w:sz w:val="24"/>
              </w:rPr>
              <w:t>-</w:t>
            </w:r>
          </w:p>
        </w:tc>
      </w:tr>
      <w:tr w:rsidR="00AB30EB" w:rsidRPr="005262E5" w14:paraId="3ECF4DE7" w14:textId="77777777" w:rsidTr="005A13C5">
        <w:tc>
          <w:tcPr>
            <w:tcW w:w="2694" w:type="dxa"/>
          </w:tcPr>
          <w:p w14:paraId="454D76E8" w14:textId="401F8F98" w:rsidR="00C66683" w:rsidRPr="005262E5" w:rsidRDefault="00C66683" w:rsidP="00C66683">
            <w:pPr>
              <w:spacing w:after="120"/>
              <w:jc w:val="both"/>
            </w:pPr>
            <w:r w:rsidRPr="005262E5">
              <w:t>c) bugetul asigurărilor sociale de stat</w:t>
            </w:r>
          </w:p>
          <w:p w14:paraId="551EFD10" w14:textId="6A1DCE03" w:rsidR="00C66683" w:rsidRPr="005262E5" w:rsidRDefault="00C66683" w:rsidP="00C66683">
            <w:pPr>
              <w:spacing w:after="120"/>
              <w:jc w:val="both"/>
            </w:pPr>
            <w:r w:rsidRPr="005262E5">
              <w:t>(i) contribuţii de asigurări</w:t>
            </w:r>
          </w:p>
        </w:tc>
        <w:tc>
          <w:tcPr>
            <w:tcW w:w="1058" w:type="dxa"/>
          </w:tcPr>
          <w:p w14:paraId="20DF36E4" w14:textId="3586510B" w:rsidR="00C66683" w:rsidRPr="005262E5" w:rsidRDefault="00C66683" w:rsidP="00C66683">
            <w:pPr>
              <w:pStyle w:val="BodyText2"/>
              <w:spacing w:after="120"/>
              <w:rPr>
                <w:sz w:val="24"/>
              </w:rPr>
            </w:pPr>
            <w:r w:rsidRPr="005262E5">
              <w:rPr>
                <w:sz w:val="24"/>
              </w:rPr>
              <w:t>-</w:t>
            </w:r>
          </w:p>
        </w:tc>
        <w:tc>
          <w:tcPr>
            <w:tcW w:w="1366" w:type="dxa"/>
          </w:tcPr>
          <w:p w14:paraId="2E4987C5" w14:textId="7CDFF440" w:rsidR="00C66683" w:rsidRPr="005262E5" w:rsidRDefault="00C66683" w:rsidP="00C66683">
            <w:pPr>
              <w:pStyle w:val="BodyText2"/>
              <w:spacing w:after="120"/>
              <w:rPr>
                <w:sz w:val="24"/>
              </w:rPr>
            </w:pPr>
            <w:r w:rsidRPr="005262E5">
              <w:rPr>
                <w:sz w:val="24"/>
              </w:rPr>
              <w:t>-</w:t>
            </w:r>
          </w:p>
        </w:tc>
        <w:tc>
          <w:tcPr>
            <w:tcW w:w="1466" w:type="dxa"/>
          </w:tcPr>
          <w:p w14:paraId="55EA5A38" w14:textId="36AA329D" w:rsidR="00C66683" w:rsidRPr="005262E5" w:rsidRDefault="00C66683" w:rsidP="00C66683">
            <w:pPr>
              <w:pStyle w:val="BodyText2"/>
              <w:spacing w:after="120"/>
              <w:rPr>
                <w:sz w:val="24"/>
              </w:rPr>
            </w:pPr>
            <w:r w:rsidRPr="005262E5">
              <w:rPr>
                <w:sz w:val="24"/>
              </w:rPr>
              <w:t>-</w:t>
            </w:r>
          </w:p>
        </w:tc>
        <w:tc>
          <w:tcPr>
            <w:tcW w:w="1366" w:type="dxa"/>
          </w:tcPr>
          <w:p w14:paraId="1A940564" w14:textId="3A647226" w:rsidR="00C66683" w:rsidRPr="005262E5" w:rsidRDefault="00C66683" w:rsidP="00C66683">
            <w:pPr>
              <w:pStyle w:val="BodyText2"/>
              <w:spacing w:after="120"/>
              <w:rPr>
                <w:sz w:val="24"/>
              </w:rPr>
            </w:pPr>
            <w:r w:rsidRPr="005262E5">
              <w:rPr>
                <w:sz w:val="24"/>
              </w:rPr>
              <w:t>-</w:t>
            </w:r>
          </w:p>
        </w:tc>
        <w:tc>
          <w:tcPr>
            <w:tcW w:w="1135" w:type="dxa"/>
          </w:tcPr>
          <w:p w14:paraId="3B9F8826" w14:textId="3A7BEFBA" w:rsidR="00C66683" w:rsidRPr="005262E5" w:rsidRDefault="00C66683" w:rsidP="00C66683">
            <w:pPr>
              <w:pStyle w:val="BodyText2"/>
              <w:spacing w:after="120"/>
              <w:rPr>
                <w:sz w:val="24"/>
              </w:rPr>
            </w:pPr>
            <w:r w:rsidRPr="005262E5">
              <w:rPr>
                <w:sz w:val="24"/>
              </w:rPr>
              <w:t>-</w:t>
            </w:r>
          </w:p>
        </w:tc>
        <w:tc>
          <w:tcPr>
            <w:tcW w:w="1448" w:type="dxa"/>
          </w:tcPr>
          <w:p w14:paraId="7236E3D5" w14:textId="3FA876D5" w:rsidR="00C66683" w:rsidRPr="005262E5" w:rsidRDefault="00C66683" w:rsidP="00C66683">
            <w:pPr>
              <w:pStyle w:val="BodyText2"/>
              <w:spacing w:after="120"/>
              <w:rPr>
                <w:sz w:val="24"/>
              </w:rPr>
            </w:pPr>
            <w:r w:rsidRPr="005262E5">
              <w:rPr>
                <w:sz w:val="24"/>
              </w:rPr>
              <w:t>-</w:t>
            </w:r>
          </w:p>
        </w:tc>
      </w:tr>
      <w:tr w:rsidR="00AB30EB" w:rsidRPr="005262E5" w14:paraId="3B61ACE7" w14:textId="77777777" w:rsidTr="005A13C5">
        <w:tc>
          <w:tcPr>
            <w:tcW w:w="2694" w:type="dxa"/>
          </w:tcPr>
          <w:p w14:paraId="62FD1E56" w14:textId="77777777" w:rsidR="00C66683" w:rsidRPr="005262E5" w:rsidRDefault="00C66683" w:rsidP="00C66683">
            <w:pPr>
              <w:spacing w:after="120"/>
              <w:jc w:val="both"/>
            </w:pPr>
            <w:r w:rsidRPr="005262E5">
              <w:t>d) alte tipuri de venituri</w:t>
            </w:r>
          </w:p>
          <w:p w14:paraId="5EB8BD87" w14:textId="4527B335" w:rsidR="00C66683" w:rsidRPr="005262E5" w:rsidRDefault="00C66683" w:rsidP="00C66683">
            <w:pPr>
              <w:spacing w:after="120"/>
              <w:jc w:val="both"/>
            </w:pPr>
            <w:r w:rsidRPr="005262E5">
              <w:t xml:space="preserve">(Se va menționa natura acestora.) </w:t>
            </w:r>
          </w:p>
        </w:tc>
        <w:tc>
          <w:tcPr>
            <w:tcW w:w="1058" w:type="dxa"/>
          </w:tcPr>
          <w:p w14:paraId="704BCA51" w14:textId="3CE38F10" w:rsidR="00C66683" w:rsidRPr="005262E5" w:rsidRDefault="00C66683" w:rsidP="00C66683">
            <w:pPr>
              <w:pStyle w:val="BodyText2"/>
              <w:spacing w:after="120"/>
              <w:rPr>
                <w:sz w:val="24"/>
              </w:rPr>
            </w:pPr>
            <w:r w:rsidRPr="005262E5">
              <w:rPr>
                <w:sz w:val="24"/>
              </w:rPr>
              <w:t>-</w:t>
            </w:r>
          </w:p>
        </w:tc>
        <w:tc>
          <w:tcPr>
            <w:tcW w:w="1366" w:type="dxa"/>
          </w:tcPr>
          <w:p w14:paraId="269D834F" w14:textId="00F42FCF" w:rsidR="00C66683" w:rsidRPr="005262E5" w:rsidRDefault="00C66683" w:rsidP="00C66683">
            <w:pPr>
              <w:pStyle w:val="BodyText2"/>
              <w:spacing w:after="120"/>
              <w:rPr>
                <w:sz w:val="24"/>
              </w:rPr>
            </w:pPr>
            <w:r w:rsidRPr="005262E5">
              <w:rPr>
                <w:sz w:val="24"/>
              </w:rPr>
              <w:t>-</w:t>
            </w:r>
          </w:p>
        </w:tc>
        <w:tc>
          <w:tcPr>
            <w:tcW w:w="1466" w:type="dxa"/>
          </w:tcPr>
          <w:p w14:paraId="03C3272C" w14:textId="32DAC741" w:rsidR="00C66683" w:rsidRPr="005262E5" w:rsidRDefault="00C66683" w:rsidP="00C66683">
            <w:pPr>
              <w:pStyle w:val="BodyText2"/>
              <w:spacing w:after="120"/>
              <w:rPr>
                <w:sz w:val="24"/>
              </w:rPr>
            </w:pPr>
            <w:r w:rsidRPr="005262E5">
              <w:rPr>
                <w:sz w:val="24"/>
              </w:rPr>
              <w:t>-</w:t>
            </w:r>
          </w:p>
        </w:tc>
        <w:tc>
          <w:tcPr>
            <w:tcW w:w="1366" w:type="dxa"/>
          </w:tcPr>
          <w:p w14:paraId="70C282AC" w14:textId="0E1AE527" w:rsidR="00C66683" w:rsidRPr="005262E5" w:rsidRDefault="00C66683" w:rsidP="00C66683">
            <w:pPr>
              <w:pStyle w:val="BodyText2"/>
              <w:spacing w:after="120"/>
              <w:rPr>
                <w:sz w:val="24"/>
              </w:rPr>
            </w:pPr>
            <w:r w:rsidRPr="005262E5">
              <w:rPr>
                <w:sz w:val="24"/>
              </w:rPr>
              <w:t>-</w:t>
            </w:r>
          </w:p>
        </w:tc>
        <w:tc>
          <w:tcPr>
            <w:tcW w:w="1135" w:type="dxa"/>
          </w:tcPr>
          <w:p w14:paraId="711BE975" w14:textId="38D5D4A9" w:rsidR="00C66683" w:rsidRPr="005262E5" w:rsidRDefault="00C66683" w:rsidP="00C66683">
            <w:pPr>
              <w:pStyle w:val="BodyText2"/>
              <w:spacing w:after="120"/>
              <w:rPr>
                <w:sz w:val="24"/>
              </w:rPr>
            </w:pPr>
            <w:r w:rsidRPr="005262E5">
              <w:rPr>
                <w:sz w:val="24"/>
              </w:rPr>
              <w:t>-</w:t>
            </w:r>
          </w:p>
        </w:tc>
        <w:tc>
          <w:tcPr>
            <w:tcW w:w="1448" w:type="dxa"/>
          </w:tcPr>
          <w:p w14:paraId="56D819C6" w14:textId="7E4C1E29" w:rsidR="00C66683" w:rsidRPr="005262E5" w:rsidRDefault="00C66683" w:rsidP="00C66683">
            <w:pPr>
              <w:pStyle w:val="BodyText2"/>
              <w:spacing w:after="120"/>
              <w:rPr>
                <w:sz w:val="24"/>
              </w:rPr>
            </w:pPr>
            <w:r w:rsidRPr="005262E5">
              <w:rPr>
                <w:sz w:val="24"/>
              </w:rPr>
              <w:t>-</w:t>
            </w:r>
          </w:p>
        </w:tc>
      </w:tr>
      <w:tr w:rsidR="00AB30EB" w:rsidRPr="005262E5" w14:paraId="126F1061" w14:textId="77777777" w:rsidTr="005A13C5">
        <w:tc>
          <w:tcPr>
            <w:tcW w:w="2694" w:type="dxa"/>
          </w:tcPr>
          <w:p w14:paraId="1415B230" w14:textId="72A3E85F" w:rsidR="00C66683" w:rsidRPr="005262E5" w:rsidRDefault="00C66683" w:rsidP="00C66683">
            <w:pPr>
              <w:spacing w:after="120"/>
              <w:jc w:val="both"/>
              <w:rPr>
                <w:b/>
                <w:bCs/>
              </w:rPr>
            </w:pPr>
            <w:r w:rsidRPr="005262E5">
              <w:rPr>
                <w:b/>
                <w:bCs/>
              </w:rPr>
              <w:t>4.2. Modificări ale cheltuielilor bugetare, plus/minus, din care:</w:t>
            </w:r>
          </w:p>
        </w:tc>
        <w:tc>
          <w:tcPr>
            <w:tcW w:w="1058" w:type="dxa"/>
          </w:tcPr>
          <w:p w14:paraId="7BB1C451" w14:textId="492E0D6B" w:rsidR="00C66683" w:rsidRPr="005262E5" w:rsidRDefault="00C66683" w:rsidP="00C66683">
            <w:pPr>
              <w:spacing w:after="120"/>
              <w:jc w:val="center"/>
            </w:pPr>
            <w:r w:rsidRPr="005262E5">
              <w:t>-</w:t>
            </w:r>
          </w:p>
        </w:tc>
        <w:tc>
          <w:tcPr>
            <w:tcW w:w="1366" w:type="dxa"/>
          </w:tcPr>
          <w:p w14:paraId="44C5A3FF" w14:textId="06C5ABE6" w:rsidR="00C66683" w:rsidRPr="005262E5" w:rsidRDefault="00C66683" w:rsidP="00C66683">
            <w:pPr>
              <w:spacing w:after="120"/>
              <w:jc w:val="center"/>
            </w:pPr>
            <w:r w:rsidRPr="005262E5">
              <w:t>-</w:t>
            </w:r>
          </w:p>
        </w:tc>
        <w:tc>
          <w:tcPr>
            <w:tcW w:w="1466" w:type="dxa"/>
          </w:tcPr>
          <w:p w14:paraId="1702DFD2" w14:textId="68604ADA" w:rsidR="00C66683" w:rsidRPr="005262E5" w:rsidRDefault="00C66683" w:rsidP="00C66683">
            <w:pPr>
              <w:spacing w:after="120"/>
              <w:jc w:val="center"/>
            </w:pPr>
            <w:r w:rsidRPr="005262E5">
              <w:t>-</w:t>
            </w:r>
          </w:p>
        </w:tc>
        <w:tc>
          <w:tcPr>
            <w:tcW w:w="1366" w:type="dxa"/>
          </w:tcPr>
          <w:p w14:paraId="1D7B38D6" w14:textId="51248528" w:rsidR="00C66683" w:rsidRPr="005262E5" w:rsidRDefault="00C66683" w:rsidP="00C66683">
            <w:pPr>
              <w:spacing w:after="120"/>
              <w:jc w:val="center"/>
            </w:pPr>
            <w:r w:rsidRPr="005262E5">
              <w:t>-</w:t>
            </w:r>
          </w:p>
        </w:tc>
        <w:tc>
          <w:tcPr>
            <w:tcW w:w="1135" w:type="dxa"/>
          </w:tcPr>
          <w:p w14:paraId="09F7CD9E" w14:textId="011521F5" w:rsidR="00C66683" w:rsidRPr="005262E5" w:rsidRDefault="00C66683" w:rsidP="00C66683">
            <w:pPr>
              <w:spacing w:after="120"/>
              <w:jc w:val="center"/>
            </w:pPr>
            <w:r w:rsidRPr="005262E5">
              <w:t>-</w:t>
            </w:r>
          </w:p>
        </w:tc>
        <w:tc>
          <w:tcPr>
            <w:tcW w:w="1448" w:type="dxa"/>
          </w:tcPr>
          <w:p w14:paraId="16493B27" w14:textId="22C45FFD" w:rsidR="00C66683" w:rsidRPr="005262E5" w:rsidRDefault="00C66683" w:rsidP="00C66683">
            <w:pPr>
              <w:spacing w:after="120"/>
              <w:jc w:val="center"/>
            </w:pPr>
            <w:r w:rsidRPr="005262E5">
              <w:t>-</w:t>
            </w:r>
          </w:p>
        </w:tc>
      </w:tr>
      <w:tr w:rsidR="00AB30EB" w:rsidRPr="005262E5" w14:paraId="408E6817" w14:textId="77777777" w:rsidTr="005A13C5">
        <w:tc>
          <w:tcPr>
            <w:tcW w:w="2694" w:type="dxa"/>
          </w:tcPr>
          <w:p w14:paraId="2D265B20" w14:textId="19563007" w:rsidR="00C66683" w:rsidRPr="005262E5" w:rsidRDefault="00C66683" w:rsidP="00C66683">
            <w:pPr>
              <w:spacing w:after="120"/>
              <w:jc w:val="both"/>
            </w:pPr>
            <w:r w:rsidRPr="005262E5">
              <w:t>a) buget de stat, din acesta:</w:t>
            </w:r>
          </w:p>
          <w:p w14:paraId="3382ADB9" w14:textId="31517959" w:rsidR="00C66683" w:rsidRPr="005262E5" w:rsidRDefault="00C66683" w:rsidP="00C66683">
            <w:pPr>
              <w:spacing w:after="120"/>
              <w:jc w:val="both"/>
            </w:pPr>
            <w:r w:rsidRPr="005262E5">
              <w:t>(i) cheltuieli de personal</w:t>
            </w:r>
          </w:p>
          <w:p w14:paraId="2AF2C20C" w14:textId="24F90ED4" w:rsidR="00C66683" w:rsidRPr="005262E5" w:rsidRDefault="00C66683" w:rsidP="00C66683">
            <w:pPr>
              <w:spacing w:after="120"/>
              <w:jc w:val="both"/>
            </w:pPr>
            <w:r w:rsidRPr="005262E5">
              <w:t>(ii) bunuri şi servicii</w:t>
            </w:r>
          </w:p>
        </w:tc>
        <w:tc>
          <w:tcPr>
            <w:tcW w:w="1058" w:type="dxa"/>
          </w:tcPr>
          <w:p w14:paraId="3E0B1602" w14:textId="62A3384A" w:rsidR="00C66683" w:rsidRPr="005262E5" w:rsidRDefault="00C66683" w:rsidP="00C66683">
            <w:pPr>
              <w:spacing w:after="120"/>
              <w:jc w:val="center"/>
            </w:pPr>
            <w:r w:rsidRPr="005262E5">
              <w:t>-</w:t>
            </w:r>
          </w:p>
        </w:tc>
        <w:tc>
          <w:tcPr>
            <w:tcW w:w="1366" w:type="dxa"/>
          </w:tcPr>
          <w:p w14:paraId="4A5827CA" w14:textId="2AB349E3" w:rsidR="00C66683" w:rsidRPr="005262E5" w:rsidRDefault="00C66683" w:rsidP="00C66683">
            <w:pPr>
              <w:spacing w:after="120"/>
              <w:jc w:val="center"/>
            </w:pPr>
            <w:r w:rsidRPr="005262E5">
              <w:t>-</w:t>
            </w:r>
          </w:p>
        </w:tc>
        <w:tc>
          <w:tcPr>
            <w:tcW w:w="1466" w:type="dxa"/>
          </w:tcPr>
          <w:p w14:paraId="32FB3ACA" w14:textId="3B2640EA" w:rsidR="00C66683" w:rsidRPr="005262E5" w:rsidRDefault="00C66683" w:rsidP="00C66683">
            <w:pPr>
              <w:spacing w:after="120"/>
              <w:jc w:val="center"/>
            </w:pPr>
            <w:r w:rsidRPr="005262E5">
              <w:t>-</w:t>
            </w:r>
          </w:p>
        </w:tc>
        <w:tc>
          <w:tcPr>
            <w:tcW w:w="1366" w:type="dxa"/>
          </w:tcPr>
          <w:p w14:paraId="6B0B1905" w14:textId="4595145E" w:rsidR="00C66683" w:rsidRPr="005262E5" w:rsidRDefault="00C66683" w:rsidP="00C66683">
            <w:pPr>
              <w:spacing w:after="120"/>
              <w:jc w:val="center"/>
            </w:pPr>
            <w:r w:rsidRPr="005262E5">
              <w:t>-</w:t>
            </w:r>
          </w:p>
        </w:tc>
        <w:tc>
          <w:tcPr>
            <w:tcW w:w="1135" w:type="dxa"/>
          </w:tcPr>
          <w:p w14:paraId="23CBB327" w14:textId="033B3F4E" w:rsidR="00C66683" w:rsidRPr="005262E5" w:rsidRDefault="00C66683" w:rsidP="00C66683">
            <w:pPr>
              <w:spacing w:after="120"/>
              <w:jc w:val="center"/>
            </w:pPr>
            <w:r w:rsidRPr="005262E5">
              <w:t>-</w:t>
            </w:r>
          </w:p>
        </w:tc>
        <w:tc>
          <w:tcPr>
            <w:tcW w:w="1448" w:type="dxa"/>
          </w:tcPr>
          <w:p w14:paraId="58A4AD04" w14:textId="12F84F0F" w:rsidR="00C66683" w:rsidRPr="005262E5" w:rsidRDefault="00C66683" w:rsidP="00C66683">
            <w:pPr>
              <w:spacing w:after="120"/>
              <w:jc w:val="center"/>
            </w:pPr>
            <w:r w:rsidRPr="005262E5">
              <w:t>-</w:t>
            </w:r>
          </w:p>
        </w:tc>
      </w:tr>
      <w:tr w:rsidR="00AB30EB" w:rsidRPr="005262E5" w14:paraId="247EA305" w14:textId="77777777" w:rsidTr="005A13C5">
        <w:tc>
          <w:tcPr>
            <w:tcW w:w="2694" w:type="dxa"/>
          </w:tcPr>
          <w:p w14:paraId="1413F8FD" w14:textId="15D4A2BF" w:rsidR="00C66683" w:rsidRPr="005262E5" w:rsidRDefault="00C66683" w:rsidP="00C66683">
            <w:pPr>
              <w:spacing w:after="120"/>
              <w:jc w:val="both"/>
            </w:pPr>
            <w:r w:rsidRPr="005262E5">
              <w:t>b) bugete locale:</w:t>
            </w:r>
          </w:p>
          <w:p w14:paraId="5D43B430" w14:textId="0375DEBE" w:rsidR="00C66683" w:rsidRPr="005262E5" w:rsidRDefault="00C66683" w:rsidP="00C66683">
            <w:pPr>
              <w:spacing w:after="120"/>
              <w:jc w:val="both"/>
            </w:pPr>
            <w:r w:rsidRPr="005262E5">
              <w:t>(i) cheltuieli de personal</w:t>
            </w:r>
          </w:p>
          <w:p w14:paraId="5FAAC7DC" w14:textId="3646E615" w:rsidR="00C66683" w:rsidRPr="005262E5" w:rsidRDefault="00C66683" w:rsidP="00C66683">
            <w:pPr>
              <w:spacing w:after="120"/>
              <w:jc w:val="both"/>
            </w:pPr>
            <w:r w:rsidRPr="005262E5">
              <w:t>(ii) bunuri şi servicii</w:t>
            </w:r>
          </w:p>
        </w:tc>
        <w:tc>
          <w:tcPr>
            <w:tcW w:w="1058" w:type="dxa"/>
          </w:tcPr>
          <w:p w14:paraId="35C2339D" w14:textId="5AFD9D02" w:rsidR="00C66683" w:rsidRPr="005262E5" w:rsidRDefault="00C66683" w:rsidP="00C66683">
            <w:pPr>
              <w:spacing w:after="120"/>
              <w:jc w:val="center"/>
            </w:pPr>
            <w:r w:rsidRPr="005262E5">
              <w:t>-</w:t>
            </w:r>
          </w:p>
        </w:tc>
        <w:tc>
          <w:tcPr>
            <w:tcW w:w="1366" w:type="dxa"/>
          </w:tcPr>
          <w:p w14:paraId="7642EF10" w14:textId="4E7D4D29" w:rsidR="00C66683" w:rsidRPr="005262E5" w:rsidRDefault="00C66683" w:rsidP="00C66683">
            <w:pPr>
              <w:spacing w:after="120"/>
              <w:jc w:val="center"/>
            </w:pPr>
            <w:r w:rsidRPr="005262E5">
              <w:t>-</w:t>
            </w:r>
          </w:p>
        </w:tc>
        <w:tc>
          <w:tcPr>
            <w:tcW w:w="1466" w:type="dxa"/>
          </w:tcPr>
          <w:p w14:paraId="00DA41A3" w14:textId="38060C44" w:rsidR="00C66683" w:rsidRPr="005262E5" w:rsidRDefault="00C66683" w:rsidP="00C66683">
            <w:pPr>
              <w:spacing w:after="120"/>
              <w:jc w:val="center"/>
            </w:pPr>
            <w:r w:rsidRPr="005262E5">
              <w:t>-</w:t>
            </w:r>
          </w:p>
        </w:tc>
        <w:tc>
          <w:tcPr>
            <w:tcW w:w="1366" w:type="dxa"/>
          </w:tcPr>
          <w:p w14:paraId="5014B167" w14:textId="5B115588" w:rsidR="00C66683" w:rsidRPr="005262E5" w:rsidRDefault="00C66683" w:rsidP="00C66683">
            <w:pPr>
              <w:spacing w:after="120"/>
              <w:jc w:val="center"/>
            </w:pPr>
            <w:r w:rsidRPr="005262E5">
              <w:t>-</w:t>
            </w:r>
          </w:p>
        </w:tc>
        <w:tc>
          <w:tcPr>
            <w:tcW w:w="1135" w:type="dxa"/>
          </w:tcPr>
          <w:p w14:paraId="44E6962F" w14:textId="430B3186" w:rsidR="00C66683" w:rsidRPr="005262E5" w:rsidRDefault="00C66683" w:rsidP="00C66683">
            <w:pPr>
              <w:spacing w:after="120"/>
              <w:jc w:val="center"/>
            </w:pPr>
            <w:r w:rsidRPr="005262E5">
              <w:t>-</w:t>
            </w:r>
          </w:p>
        </w:tc>
        <w:tc>
          <w:tcPr>
            <w:tcW w:w="1448" w:type="dxa"/>
          </w:tcPr>
          <w:p w14:paraId="5D1C5F3E" w14:textId="1F77C9D5" w:rsidR="00C66683" w:rsidRPr="005262E5" w:rsidRDefault="00C66683" w:rsidP="00C66683">
            <w:pPr>
              <w:spacing w:after="120"/>
              <w:jc w:val="center"/>
            </w:pPr>
            <w:r w:rsidRPr="005262E5">
              <w:t>-</w:t>
            </w:r>
          </w:p>
        </w:tc>
      </w:tr>
      <w:tr w:rsidR="00AB30EB" w:rsidRPr="005262E5" w14:paraId="64A76806" w14:textId="77777777" w:rsidTr="005A13C5">
        <w:tc>
          <w:tcPr>
            <w:tcW w:w="2694" w:type="dxa"/>
          </w:tcPr>
          <w:p w14:paraId="30172BDF" w14:textId="0D2320D4" w:rsidR="00C66683" w:rsidRPr="005262E5" w:rsidRDefault="00C66683" w:rsidP="00C66683">
            <w:pPr>
              <w:spacing w:after="120"/>
              <w:jc w:val="both"/>
            </w:pPr>
            <w:r w:rsidRPr="005262E5">
              <w:t>c) bugetul asigurărilor sociale de stat:</w:t>
            </w:r>
          </w:p>
          <w:p w14:paraId="03FADADD" w14:textId="1EB62078" w:rsidR="00C66683" w:rsidRPr="005262E5" w:rsidRDefault="00C66683" w:rsidP="00C66683">
            <w:pPr>
              <w:spacing w:after="120"/>
              <w:jc w:val="both"/>
            </w:pPr>
            <w:r w:rsidRPr="005262E5">
              <w:t>(i) cheltuieli de personal</w:t>
            </w:r>
          </w:p>
          <w:p w14:paraId="55656529" w14:textId="757B5B4C" w:rsidR="00C66683" w:rsidRPr="005262E5" w:rsidRDefault="00C66683" w:rsidP="00C66683">
            <w:pPr>
              <w:spacing w:after="120"/>
              <w:jc w:val="both"/>
            </w:pPr>
            <w:r w:rsidRPr="005262E5">
              <w:t>(ii) bunuri şi servicii</w:t>
            </w:r>
          </w:p>
        </w:tc>
        <w:tc>
          <w:tcPr>
            <w:tcW w:w="1058" w:type="dxa"/>
          </w:tcPr>
          <w:p w14:paraId="2DE6BAAD" w14:textId="5186B649" w:rsidR="00C66683" w:rsidRPr="005262E5" w:rsidRDefault="00C66683" w:rsidP="00C66683">
            <w:pPr>
              <w:spacing w:after="120"/>
              <w:jc w:val="center"/>
            </w:pPr>
            <w:r w:rsidRPr="005262E5">
              <w:t>-</w:t>
            </w:r>
          </w:p>
        </w:tc>
        <w:tc>
          <w:tcPr>
            <w:tcW w:w="1366" w:type="dxa"/>
          </w:tcPr>
          <w:p w14:paraId="07943E17" w14:textId="380BFA6B" w:rsidR="00C66683" w:rsidRPr="005262E5" w:rsidRDefault="00C66683" w:rsidP="00C66683">
            <w:pPr>
              <w:spacing w:after="120"/>
              <w:jc w:val="center"/>
            </w:pPr>
            <w:r w:rsidRPr="005262E5">
              <w:t>-</w:t>
            </w:r>
          </w:p>
        </w:tc>
        <w:tc>
          <w:tcPr>
            <w:tcW w:w="1466" w:type="dxa"/>
          </w:tcPr>
          <w:p w14:paraId="5D1EB785" w14:textId="3E92A3ED" w:rsidR="00C66683" w:rsidRPr="005262E5" w:rsidRDefault="00C66683" w:rsidP="00C66683">
            <w:pPr>
              <w:spacing w:after="120"/>
              <w:jc w:val="center"/>
            </w:pPr>
            <w:r w:rsidRPr="005262E5">
              <w:t>-</w:t>
            </w:r>
          </w:p>
        </w:tc>
        <w:tc>
          <w:tcPr>
            <w:tcW w:w="1366" w:type="dxa"/>
          </w:tcPr>
          <w:p w14:paraId="7E7347DF" w14:textId="1AA798C3" w:rsidR="00C66683" w:rsidRPr="005262E5" w:rsidRDefault="00C66683" w:rsidP="00C66683">
            <w:pPr>
              <w:spacing w:after="120"/>
              <w:jc w:val="center"/>
            </w:pPr>
            <w:r w:rsidRPr="005262E5">
              <w:t>-</w:t>
            </w:r>
          </w:p>
        </w:tc>
        <w:tc>
          <w:tcPr>
            <w:tcW w:w="1135" w:type="dxa"/>
          </w:tcPr>
          <w:p w14:paraId="27993F0F" w14:textId="2A9C2644" w:rsidR="00C66683" w:rsidRPr="005262E5" w:rsidRDefault="00C66683" w:rsidP="00C66683">
            <w:pPr>
              <w:spacing w:after="120"/>
              <w:jc w:val="center"/>
            </w:pPr>
            <w:r w:rsidRPr="005262E5">
              <w:t>-</w:t>
            </w:r>
          </w:p>
        </w:tc>
        <w:tc>
          <w:tcPr>
            <w:tcW w:w="1448" w:type="dxa"/>
          </w:tcPr>
          <w:p w14:paraId="3D14DE78" w14:textId="4374C5BC" w:rsidR="00C66683" w:rsidRPr="005262E5" w:rsidRDefault="00C66683" w:rsidP="00C66683">
            <w:pPr>
              <w:spacing w:after="120"/>
              <w:jc w:val="center"/>
            </w:pPr>
            <w:r w:rsidRPr="005262E5">
              <w:t>-</w:t>
            </w:r>
          </w:p>
        </w:tc>
      </w:tr>
      <w:tr w:rsidR="00AB30EB" w:rsidRPr="005262E5" w14:paraId="5C3A403A" w14:textId="77777777" w:rsidTr="005A13C5">
        <w:tc>
          <w:tcPr>
            <w:tcW w:w="2694" w:type="dxa"/>
          </w:tcPr>
          <w:p w14:paraId="3BF8A849" w14:textId="176DF995" w:rsidR="00C66683" w:rsidRPr="005262E5" w:rsidRDefault="00C66683" w:rsidP="00C66683">
            <w:pPr>
              <w:spacing w:after="120"/>
              <w:jc w:val="both"/>
            </w:pPr>
            <w:r w:rsidRPr="005262E5">
              <w:t>d) alte tipuri de cheltuieli</w:t>
            </w:r>
          </w:p>
          <w:p w14:paraId="359EE9C4" w14:textId="710C86CB" w:rsidR="00C66683" w:rsidRPr="005262E5" w:rsidRDefault="00C66683" w:rsidP="00C66683">
            <w:pPr>
              <w:spacing w:after="120"/>
              <w:jc w:val="both"/>
            </w:pPr>
            <w:r w:rsidRPr="005262E5">
              <w:t>(Se va menționa natura acestora.)</w:t>
            </w:r>
          </w:p>
        </w:tc>
        <w:tc>
          <w:tcPr>
            <w:tcW w:w="1058" w:type="dxa"/>
          </w:tcPr>
          <w:p w14:paraId="2C7AC338" w14:textId="71D29EA0" w:rsidR="00C66683" w:rsidRPr="005262E5" w:rsidRDefault="00C66683" w:rsidP="00C66683">
            <w:pPr>
              <w:spacing w:after="120"/>
              <w:jc w:val="center"/>
            </w:pPr>
            <w:r w:rsidRPr="005262E5">
              <w:t>-</w:t>
            </w:r>
          </w:p>
        </w:tc>
        <w:tc>
          <w:tcPr>
            <w:tcW w:w="1366" w:type="dxa"/>
          </w:tcPr>
          <w:p w14:paraId="7CA00BF7" w14:textId="381C5E74" w:rsidR="00C66683" w:rsidRPr="005262E5" w:rsidRDefault="00C66683" w:rsidP="00C66683">
            <w:pPr>
              <w:spacing w:after="120"/>
              <w:jc w:val="center"/>
            </w:pPr>
            <w:r w:rsidRPr="005262E5">
              <w:t>-</w:t>
            </w:r>
          </w:p>
        </w:tc>
        <w:tc>
          <w:tcPr>
            <w:tcW w:w="1466" w:type="dxa"/>
          </w:tcPr>
          <w:p w14:paraId="22F7EDA8" w14:textId="33606B92" w:rsidR="00C66683" w:rsidRPr="005262E5" w:rsidRDefault="00C66683" w:rsidP="00C66683">
            <w:pPr>
              <w:spacing w:after="120"/>
              <w:jc w:val="center"/>
            </w:pPr>
            <w:r w:rsidRPr="005262E5">
              <w:t>-</w:t>
            </w:r>
          </w:p>
        </w:tc>
        <w:tc>
          <w:tcPr>
            <w:tcW w:w="1366" w:type="dxa"/>
          </w:tcPr>
          <w:p w14:paraId="1C65014D" w14:textId="150B9B4E" w:rsidR="00C66683" w:rsidRPr="005262E5" w:rsidRDefault="00C66683" w:rsidP="00C66683">
            <w:pPr>
              <w:spacing w:after="120"/>
              <w:jc w:val="center"/>
            </w:pPr>
            <w:r w:rsidRPr="005262E5">
              <w:t>-</w:t>
            </w:r>
          </w:p>
        </w:tc>
        <w:tc>
          <w:tcPr>
            <w:tcW w:w="1135" w:type="dxa"/>
          </w:tcPr>
          <w:p w14:paraId="69EFB472" w14:textId="7951BBF3" w:rsidR="00C66683" w:rsidRPr="005262E5" w:rsidRDefault="00C66683" w:rsidP="00C66683">
            <w:pPr>
              <w:spacing w:after="120"/>
              <w:jc w:val="center"/>
            </w:pPr>
            <w:r w:rsidRPr="005262E5">
              <w:t>-</w:t>
            </w:r>
          </w:p>
        </w:tc>
        <w:tc>
          <w:tcPr>
            <w:tcW w:w="1448" w:type="dxa"/>
          </w:tcPr>
          <w:p w14:paraId="2BEA7293" w14:textId="4FA45775" w:rsidR="00C66683" w:rsidRPr="005262E5" w:rsidRDefault="00C66683" w:rsidP="00C66683">
            <w:pPr>
              <w:spacing w:after="120"/>
              <w:jc w:val="center"/>
            </w:pPr>
            <w:r w:rsidRPr="005262E5">
              <w:t>-</w:t>
            </w:r>
          </w:p>
        </w:tc>
      </w:tr>
      <w:tr w:rsidR="00AB30EB" w:rsidRPr="005262E5" w14:paraId="6E9F3798" w14:textId="77777777" w:rsidTr="005A13C5">
        <w:tc>
          <w:tcPr>
            <w:tcW w:w="2694" w:type="dxa"/>
          </w:tcPr>
          <w:p w14:paraId="1C49C2EC" w14:textId="77777777" w:rsidR="00C66683" w:rsidRPr="005262E5" w:rsidRDefault="00C66683" w:rsidP="00C66683">
            <w:pPr>
              <w:spacing w:after="120"/>
              <w:jc w:val="both"/>
              <w:rPr>
                <w:b/>
                <w:bCs/>
              </w:rPr>
            </w:pPr>
            <w:r w:rsidRPr="005262E5">
              <w:rPr>
                <w:b/>
                <w:bCs/>
              </w:rPr>
              <w:t>4.3. Impact financiar, plus/minus, din care:</w:t>
            </w:r>
          </w:p>
          <w:p w14:paraId="656BFCEC" w14:textId="54C7982C" w:rsidR="00C66683" w:rsidRPr="005262E5" w:rsidRDefault="00C66683" w:rsidP="00C66683">
            <w:pPr>
              <w:spacing w:after="120"/>
              <w:jc w:val="both"/>
            </w:pPr>
            <w:r w:rsidRPr="005262E5">
              <w:t>a) buget de stat</w:t>
            </w:r>
          </w:p>
        </w:tc>
        <w:tc>
          <w:tcPr>
            <w:tcW w:w="1058" w:type="dxa"/>
          </w:tcPr>
          <w:p w14:paraId="7AD2D601" w14:textId="6EBBF8D8" w:rsidR="00C66683" w:rsidRPr="005262E5" w:rsidRDefault="00C66683" w:rsidP="00C66683">
            <w:pPr>
              <w:spacing w:after="120"/>
              <w:jc w:val="center"/>
            </w:pPr>
            <w:r w:rsidRPr="005262E5">
              <w:t>-</w:t>
            </w:r>
          </w:p>
        </w:tc>
        <w:tc>
          <w:tcPr>
            <w:tcW w:w="1366" w:type="dxa"/>
          </w:tcPr>
          <w:p w14:paraId="0568D044" w14:textId="3C467267" w:rsidR="00C66683" w:rsidRPr="005262E5" w:rsidRDefault="00C66683" w:rsidP="00C66683">
            <w:pPr>
              <w:spacing w:after="120"/>
              <w:jc w:val="center"/>
            </w:pPr>
            <w:r w:rsidRPr="005262E5">
              <w:t>-</w:t>
            </w:r>
          </w:p>
        </w:tc>
        <w:tc>
          <w:tcPr>
            <w:tcW w:w="1466" w:type="dxa"/>
          </w:tcPr>
          <w:p w14:paraId="210A6366" w14:textId="759F9DAD" w:rsidR="00C66683" w:rsidRPr="005262E5" w:rsidRDefault="00C66683" w:rsidP="00C66683">
            <w:pPr>
              <w:spacing w:after="120"/>
              <w:jc w:val="center"/>
            </w:pPr>
            <w:r w:rsidRPr="005262E5">
              <w:t>-</w:t>
            </w:r>
          </w:p>
        </w:tc>
        <w:tc>
          <w:tcPr>
            <w:tcW w:w="1366" w:type="dxa"/>
          </w:tcPr>
          <w:p w14:paraId="2693F75B" w14:textId="0770E1E6" w:rsidR="00C66683" w:rsidRPr="005262E5" w:rsidRDefault="00C66683" w:rsidP="00C66683">
            <w:pPr>
              <w:spacing w:after="120"/>
              <w:jc w:val="center"/>
            </w:pPr>
            <w:r w:rsidRPr="005262E5">
              <w:t>-</w:t>
            </w:r>
          </w:p>
        </w:tc>
        <w:tc>
          <w:tcPr>
            <w:tcW w:w="1135" w:type="dxa"/>
          </w:tcPr>
          <w:p w14:paraId="1585137C" w14:textId="1096E556" w:rsidR="00C66683" w:rsidRPr="005262E5" w:rsidRDefault="00C66683" w:rsidP="00C66683">
            <w:pPr>
              <w:spacing w:after="120"/>
              <w:jc w:val="center"/>
            </w:pPr>
            <w:r w:rsidRPr="005262E5">
              <w:t>-</w:t>
            </w:r>
          </w:p>
        </w:tc>
        <w:tc>
          <w:tcPr>
            <w:tcW w:w="1448" w:type="dxa"/>
          </w:tcPr>
          <w:p w14:paraId="2D494315" w14:textId="07E8D13D" w:rsidR="00C66683" w:rsidRPr="005262E5" w:rsidRDefault="00C66683" w:rsidP="00C66683">
            <w:pPr>
              <w:spacing w:after="120"/>
              <w:jc w:val="center"/>
            </w:pPr>
            <w:r w:rsidRPr="005262E5">
              <w:t>-</w:t>
            </w:r>
          </w:p>
        </w:tc>
      </w:tr>
      <w:tr w:rsidR="00AB30EB" w:rsidRPr="005262E5" w14:paraId="3177FEF7" w14:textId="77777777" w:rsidTr="005A13C5">
        <w:tc>
          <w:tcPr>
            <w:tcW w:w="2694" w:type="dxa"/>
          </w:tcPr>
          <w:p w14:paraId="33908C4A" w14:textId="118E34DE" w:rsidR="00C66683" w:rsidRPr="005262E5" w:rsidRDefault="00C66683" w:rsidP="00C66683">
            <w:pPr>
              <w:spacing w:after="120"/>
              <w:jc w:val="both"/>
            </w:pPr>
            <w:r w:rsidRPr="005262E5">
              <w:t>b) bugete locale</w:t>
            </w:r>
          </w:p>
        </w:tc>
        <w:tc>
          <w:tcPr>
            <w:tcW w:w="1058" w:type="dxa"/>
          </w:tcPr>
          <w:p w14:paraId="4B62CC0C" w14:textId="09AFBF18" w:rsidR="00C66683" w:rsidRPr="005262E5" w:rsidRDefault="00C66683" w:rsidP="00C66683">
            <w:pPr>
              <w:spacing w:after="120"/>
              <w:jc w:val="center"/>
            </w:pPr>
            <w:r w:rsidRPr="005262E5">
              <w:t>-</w:t>
            </w:r>
          </w:p>
        </w:tc>
        <w:tc>
          <w:tcPr>
            <w:tcW w:w="1366" w:type="dxa"/>
          </w:tcPr>
          <w:p w14:paraId="283AC80B" w14:textId="3642BC75" w:rsidR="00C66683" w:rsidRPr="005262E5" w:rsidRDefault="00C66683" w:rsidP="00C66683">
            <w:pPr>
              <w:spacing w:after="120"/>
              <w:jc w:val="center"/>
            </w:pPr>
            <w:r w:rsidRPr="005262E5">
              <w:t>-</w:t>
            </w:r>
          </w:p>
        </w:tc>
        <w:tc>
          <w:tcPr>
            <w:tcW w:w="1466" w:type="dxa"/>
          </w:tcPr>
          <w:p w14:paraId="7219261C" w14:textId="3944ABF2" w:rsidR="00C66683" w:rsidRPr="005262E5" w:rsidRDefault="00C66683" w:rsidP="00C66683">
            <w:pPr>
              <w:spacing w:after="120"/>
              <w:jc w:val="center"/>
            </w:pPr>
            <w:r w:rsidRPr="005262E5">
              <w:t>-</w:t>
            </w:r>
          </w:p>
        </w:tc>
        <w:tc>
          <w:tcPr>
            <w:tcW w:w="1366" w:type="dxa"/>
          </w:tcPr>
          <w:p w14:paraId="49D7F163" w14:textId="1A853BC8" w:rsidR="00C66683" w:rsidRPr="005262E5" w:rsidRDefault="00C66683" w:rsidP="00C66683">
            <w:pPr>
              <w:spacing w:after="120"/>
              <w:jc w:val="center"/>
            </w:pPr>
            <w:r w:rsidRPr="005262E5">
              <w:t>-</w:t>
            </w:r>
          </w:p>
        </w:tc>
        <w:tc>
          <w:tcPr>
            <w:tcW w:w="1135" w:type="dxa"/>
          </w:tcPr>
          <w:p w14:paraId="7C544E7C" w14:textId="04532B78" w:rsidR="00C66683" w:rsidRPr="005262E5" w:rsidRDefault="00C66683" w:rsidP="00C66683">
            <w:pPr>
              <w:spacing w:after="120"/>
              <w:jc w:val="center"/>
            </w:pPr>
            <w:r w:rsidRPr="005262E5">
              <w:t>-</w:t>
            </w:r>
          </w:p>
        </w:tc>
        <w:tc>
          <w:tcPr>
            <w:tcW w:w="1448" w:type="dxa"/>
          </w:tcPr>
          <w:p w14:paraId="4953DDFD" w14:textId="05B75CD6" w:rsidR="00C66683" w:rsidRPr="005262E5" w:rsidRDefault="00C66683" w:rsidP="00C66683">
            <w:pPr>
              <w:spacing w:after="120"/>
              <w:jc w:val="center"/>
            </w:pPr>
            <w:r w:rsidRPr="005262E5">
              <w:t>-</w:t>
            </w:r>
          </w:p>
        </w:tc>
      </w:tr>
      <w:tr w:rsidR="00AB30EB" w:rsidRPr="005262E5" w14:paraId="4B985901" w14:textId="77777777" w:rsidTr="005A13C5">
        <w:tc>
          <w:tcPr>
            <w:tcW w:w="2694" w:type="dxa"/>
          </w:tcPr>
          <w:p w14:paraId="41F94191" w14:textId="4D675AF2" w:rsidR="00C66683" w:rsidRPr="005262E5" w:rsidRDefault="00C66683" w:rsidP="00C66683">
            <w:pPr>
              <w:spacing w:after="120"/>
              <w:jc w:val="both"/>
              <w:rPr>
                <w:b/>
                <w:bCs/>
              </w:rPr>
            </w:pPr>
            <w:r w:rsidRPr="005262E5">
              <w:rPr>
                <w:b/>
                <w:bCs/>
              </w:rPr>
              <w:t>4.4. Propuneri pentru acoperirea creşterii cheltuielilor bugetare</w:t>
            </w:r>
          </w:p>
        </w:tc>
        <w:tc>
          <w:tcPr>
            <w:tcW w:w="1058" w:type="dxa"/>
          </w:tcPr>
          <w:p w14:paraId="12553E7B" w14:textId="667120BB" w:rsidR="00C66683" w:rsidRPr="005262E5" w:rsidRDefault="00C66683" w:rsidP="00C66683">
            <w:pPr>
              <w:spacing w:after="120"/>
              <w:jc w:val="center"/>
            </w:pPr>
            <w:r w:rsidRPr="005262E5">
              <w:t>-</w:t>
            </w:r>
          </w:p>
        </w:tc>
        <w:tc>
          <w:tcPr>
            <w:tcW w:w="1366" w:type="dxa"/>
          </w:tcPr>
          <w:p w14:paraId="6B4AB040" w14:textId="1D019F78" w:rsidR="00C66683" w:rsidRPr="005262E5" w:rsidRDefault="00C66683" w:rsidP="00C66683">
            <w:pPr>
              <w:spacing w:after="120"/>
              <w:jc w:val="center"/>
            </w:pPr>
            <w:r w:rsidRPr="005262E5">
              <w:t>-</w:t>
            </w:r>
          </w:p>
        </w:tc>
        <w:tc>
          <w:tcPr>
            <w:tcW w:w="1466" w:type="dxa"/>
          </w:tcPr>
          <w:p w14:paraId="2B58709A" w14:textId="624F89E5" w:rsidR="00C66683" w:rsidRPr="005262E5" w:rsidRDefault="00C66683" w:rsidP="00C66683">
            <w:pPr>
              <w:spacing w:after="120"/>
              <w:jc w:val="center"/>
            </w:pPr>
            <w:r w:rsidRPr="005262E5">
              <w:t>-</w:t>
            </w:r>
          </w:p>
        </w:tc>
        <w:tc>
          <w:tcPr>
            <w:tcW w:w="1366" w:type="dxa"/>
          </w:tcPr>
          <w:p w14:paraId="7AE48667" w14:textId="206A0516" w:rsidR="00C66683" w:rsidRPr="005262E5" w:rsidRDefault="00C66683" w:rsidP="00C66683">
            <w:pPr>
              <w:spacing w:after="120"/>
              <w:jc w:val="center"/>
            </w:pPr>
            <w:r w:rsidRPr="005262E5">
              <w:t>-</w:t>
            </w:r>
          </w:p>
        </w:tc>
        <w:tc>
          <w:tcPr>
            <w:tcW w:w="1135" w:type="dxa"/>
          </w:tcPr>
          <w:p w14:paraId="2C05220B" w14:textId="1E51F03D" w:rsidR="00C66683" w:rsidRPr="005262E5" w:rsidRDefault="00C66683" w:rsidP="00C66683">
            <w:pPr>
              <w:spacing w:after="120"/>
              <w:jc w:val="center"/>
            </w:pPr>
            <w:r w:rsidRPr="005262E5">
              <w:t>-</w:t>
            </w:r>
          </w:p>
        </w:tc>
        <w:tc>
          <w:tcPr>
            <w:tcW w:w="1448" w:type="dxa"/>
          </w:tcPr>
          <w:p w14:paraId="5BF7C6F4" w14:textId="487A266E" w:rsidR="00C66683" w:rsidRPr="005262E5" w:rsidRDefault="00C66683" w:rsidP="00C66683">
            <w:pPr>
              <w:spacing w:after="120"/>
              <w:jc w:val="center"/>
            </w:pPr>
            <w:r w:rsidRPr="005262E5">
              <w:t>-</w:t>
            </w:r>
          </w:p>
        </w:tc>
      </w:tr>
      <w:tr w:rsidR="00AB30EB" w:rsidRPr="005262E5" w14:paraId="0936FEC1" w14:textId="77777777" w:rsidTr="005A13C5">
        <w:tc>
          <w:tcPr>
            <w:tcW w:w="2694" w:type="dxa"/>
          </w:tcPr>
          <w:p w14:paraId="31602873" w14:textId="19763228" w:rsidR="00C66683" w:rsidRPr="005262E5" w:rsidRDefault="00C66683" w:rsidP="00C66683">
            <w:pPr>
              <w:spacing w:after="120"/>
              <w:jc w:val="both"/>
              <w:rPr>
                <w:b/>
                <w:bCs/>
              </w:rPr>
            </w:pPr>
            <w:r w:rsidRPr="005262E5">
              <w:rPr>
                <w:b/>
                <w:bCs/>
              </w:rPr>
              <w:t>4.5. Propuneri pentru a compensa reducerea veniturilor bugetare</w:t>
            </w:r>
          </w:p>
        </w:tc>
        <w:tc>
          <w:tcPr>
            <w:tcW w:w="1058" w:type="dxa"/>
          </w:tcPr>
          <w:p w14:paraId="50FCA196" w14:textId="112134BD" w:rsidR="00C66683" w:rsidRPr="005262E5" w:rsidRDefault="00C66683" w:rsidP="00C66683">
            <w:pPr>
              <w:spacing w:after="120"/>
              <w:jc w:val="center"/>
            </w:pPr>
            <w:r w:rsidRPr="005262E5">
              <w:t>-</w:t>
            </w:r>
          </w:p>
        </w:tc>
        <w:tc>
          <w:tcPr>
            <w:tcW w:w="1366" w:type="dxa"/>
          </w:tcPr>
          <w:p w14:paraId="06CFE138" w14:textId="41F0E3EB" w:rsidR="00C66683" w:rsidRPr="005262E5" w:rsidRDefault="00C66683" w:rsidP="00C66683">
            <w:pPr>
              <w:spacing w:after="120"/>
              <w:jc w:val="center"/>
            </w:pPr>
            <w:r w:rsidRPr="005262E5">
              <w:t>-</w:t>
            </w:r>
          </w:p>
        </w:tc>
        <w:tc>
          <w:tcPr>
            <w:tcW w:w="1466" w:type="dxa"/>
          </w:tcPr>
          <w:p w14:paraId="6FFFE022" w14:textId="51647D1F" w:rsidR="00C66683" w:rsidRPr="005262E5" w:rsidRDefault="00C66683" w:rsidP="00C66683">
            <w:pPr>
              <w:spacing w:after="120"/>
              <w:jc w:val="center"/>
            </w:pPr>
            <w:r w:rsidRPr="005262E5">
              <w:t>-</w:t>
            </w:r>
          </w:p>
        </w:tc>
        <w:tc>
          <w:tcPr>
            <w:tcW w:w="1366" w:type="dxa"/>
          </w:tcPr>
          <w:p w14:paraId="46465A6F" w14:textId="1720E46F" w:rsidR="00C66683" w:rsidRPr="005262E5" w:rsidRDefault="00C66683" w:rsidP="00C66683">
            <w:pPr>
              <w:spacing w:after="120"/>
              <w:jc w:val="center"/>
            </w:pPr>
            <w:r w:rsidRPr="005262E5">
              <w:t>-</w:t>
            </w:r>
          </w:p>
        </w:tc>
        <w:tc>
          <w:tcPr>
            <w:tcW w:w="1135" w:type="dxa"/>
          </w:tcPr>
          <w:p w14:paraId="14082553" w14:textId="63E82574" w:rsidR="00C66683" w:rsidRPr="005262E5" w:rsidRDefault="00C66683" w:rsidP="00C66683">
            <w:pPr>
              <w:spacing w:after="120"/>
              <w:jc w:val="center"/>
            </w:pPr>
            <w:r w:rsidRPr="005262E5">
              <w:t>-</w:t>
            </w:r>
          </w:p>
        </w:tc>
        <w:tc>
          <w:tcPr>
            <w:tcW w:w="1448" w:type="dxa"/>
          </w:tcPr>
          <w:p w14:paraId="178CA231" w14:textId="5BF1B6A5" w:rsidR="00C66683" w:rsidRPr="005262E5" w:rsidRDefault="00C66683" w:rsidP="00C66683">
            <w:pPr>
              <w:spacing w:after="120"/>
              <w:jc w:val="center"/>
            </w:pPr>
            <w:r w:rsidRPr="005262E5">
              <w:t>-</w:t>
            </w:r>
          </w:p>
        </w:tc>
      </w:tr>
      <w:tr w:rsidR="00AB30EB" w:rsidRPr="005262E5" w14:paraId="153D0F09" w14:textId="77777777" w:rsidTr="005A13C5">
        <w:tc>
          <w:tcPr>
            <w:tcW w:w="2694" w:type="dxa"/>
          </w:tcPr>
          <w:p w14:paraId="4E7FCDBB" w14:textId="336B0E28" w:rsidR="00C66683" w:rsidRPr="005262E5" w:rsidRDefault="00C66683" w:rsidP="00C66683">
            <w:pPr>
              <w:spacing w:after="120"/>
              <w:jc w:val="both"/>
              <w:rPr>
                <w:b/>
                <w:bCs/>
              </w:rPr>
            </w:pPr>
            <w:r w:rsidRPr="005262E5">
              <w:rPr>
                <w:b/>
                <w:bCs/>
              </w:rPr>
              <w:t xml:space="preserve">4.6. Calcule detaliate privind fundamentarea </w:t>
            </w:r>
            <w:r w:rsidRPr="005262E5">
              <w:rPr>
                <w:b/>
                <w:bCs/>
              </w:rPr>
              <w:lastRenderedPageBreak/>
              <w:t>modificărilor  veniturilor şi/sau cheltuielilor bugetare</w:t>
            </w:r>
          </w:p>
        </w:tc>
        <w:tc>
          <w:tcPr>
            <w:tcW w:w="1058" w:type="dxa"/>
          </w:tcPr>
          <w:p w14:paraId="18046DC1" w14:textId="62F8BA2C" w:rsidR="00C66683" w:rsidRPr="005262E5" w:rsidRDefault="00C66683" w:rsidP="00C66683">
            <w:pPr>
              <w:spacing w:after="120"/>
              <w:jc w:val="center"/>
            </w:pPr>
            <w:r w:rsidRPr="005262E5">
              <w:lastRenderedPageBreak/>
              <w:t>-</w:t>
            </w:r>
          </w:p>
        </w:tc>
        <w:tc>
          <w:tcPr>
            <w:tcW w:w="1366" w:type="dxa"/>
          </w:tcPr>
          <w:p w14:paraId="7CF35163" w14:textId="7B0B08D7" w:rsidR="00C66683" w:rsidRPr="005262E5" w:rsidRDefault="00C66683" w:rsidP="00C66683">
            <w:pPr>
              <w:spacing w:after="120"/>
              <w:jc w:val="center"/>
            </w:pPr>
            <w:r w:rsidRPr="005262E5">
              <w:t>-</w:t>
            </w:r>
          </w:p>
        </w:tc>
        <w:tc>
          <w:tcPr>
            <w:tcW w:w="1466" w:type="dxa"/>
          </w:tcPr>
          <w:p w14:paraId="1D863FB9" w14:textId="715F1EA8" w:rsidR="00C66683" w:rsidRPr="005262E5" w:rsidRDefault="00C66683" w:rsidP="00C66683">
            <w:pPr>
              <w:spacing w:after="120"/>
              <w:jc w:val="center"/>
            </w:pPr>
            <w:r w:rsidRPr="005262E5">
              <w:t>-</w:t>
            </w:r>
          </w:p>
        </w:tc>
        <w:tc>
          <w:tcPr>
            <w:tcW w:w="1366" w:type="dxa"/>
          </w:tcPr>
          <w:p w14:paraId="42476051" w14:textId="69280B4A" w:rsidR="00C66683" w:rsidRPr="005262E5" w:rsidRDefault="00C66683" w:rsidP="00C66683">
            <w:pPr>
              <w:spacing w:after="120"/>
              <w:jc w:val="center"/>
            </w:pPr>
            <w:r w:rsidRPr="005262E5">
              <w:t>-</w:t>
            </w:r>
          </w:p>
        </w:tc>
        <w:tc>
          <w:tcPr>
            <w:tcW w:w="1135" w:type="dxa"/>
          </w:tcPr>
          <w:p w14:paraId="4746E189" w14:textId="40460441" w:rsidR="00C66683" w:rsidRPr="005262E5" w:rsidRDefault="00C66683" w:rsidP="00C66683">
            <w:pPr>
              <w:spacing w:after="120"/>
              <w:jc w:val="center"/>
            </w:pPr>
            <w:r w:rsidRPr="005262E5">
              <w:t>-</w:t>
            </w:r>
          </w:p>
        </w:tc>
        <w:tc>
          <w:tcPr>
            <w:tcW w:w="1448" w:type="dxa"/>
          </w:tcPr>
          <w:p w14:paraId="05472402" w14:textId="591DFA71" w:rsidR="00C66683" w:rsidRPr="005262E5" w:rsidRDefault="00C66683" w:rsidP="00C66683">
            <w:pPr>
              <w:spacing w:after="120"/>
              <w:jc w:val="center"/>
            </w:pPr>
            <w:r w:rsidRPr="005262E5">
              <w:t>-</w:t>
            </w:r>
          </w:p>
        </w:tc>
      </w:tr>
      <w:tr w:rsidR="00AB30EB" w:rsidRPr="005262E5" w14:paraId="260B3CE9" w14:textId="77777777" w:rsidTr="006A42CB">
        <w:tc>
          <w:tcPr>
            <w:tcW w:w="10533" w:type="dxa"/>
            <w:gridSpan w:val="7"/>
          </w:tcPr>
          <w:p w14:paraId="38A65360" w14:textId="7BB19CF9" w:rsidR="00A75729" w:rsidRPr="005262E5" w:rsidRDefault="00A75729" w:rsidP="008838DB">
            <w:pPr>
              <w:spacing w:after="120"/>
              <w:jc w:val="both"/>
              <w:rPr>
                <w:b/>
                <w:bCs/>
              </w:rPr>
            </w:pPr>
            <w:r w:rsidRPr="005262E5">
              <w:rPr>
                <w:b/>
                <w:bCs/>
              </w:rPr>
              <w:t>4.7. Prezentarea, în cazul proiectelor de acte normative</w:t>
            </w:r>
            <w:r w:rsidR="00A60FAE" w:rsidRPr="005262E5">
              <w:rPr>
                <w:b/>
                <w:bCs/>
              </w:rPr>
              <w:t xml:space="preserve"> a căror adaptare atrage majorarea cheltuielilor bugetare, a următoarelor documente:</w:t>
            </w:r>
          </w:p>
          <w:p w14:paraId="67DFFAEF" w14:textId="70B46839" w:rsidR="00A60FAE" w:rsidRPr="005262E5" w:rsidRDefault="00A60FAE" w:rsidP="008838DB">
            <w:pPr>
              <w:spacing w:after="120"/>
              <w:jc w:val="both"/>
            </w:pPr>
            <w:r w:rsidRPr="005262E5">
              <w:t>a) fișa financiară prevăzută la art. 15 din Legea nr. 500/2002 privind finanțele publice, cu modificările și completările ulterioare, însoțită de ipotezele și metodologia de calcul utilizată;</w:t>
            </w:r>
          </w:p>
          <w:p w14:paraId="6ABBB6E6" w14:textId="77777777" w:rsidR="00C66683" w:rsidRPr="005262E5" w:rsidRDefault="00C66683" w:rsidP="00C66683">
            <w:pPr>
              <w:spacing w:after="120"/>
              <w:jc w:val="both"/>
            </w:pPr>
            <w:r w:rsidRPr="005262E5">
              <w:t xml:space="preserve">Nu e cazul </w:t>
            </w:r>
          </w:p>
          <w:p w14:paraId="3208F9B6" w14:textId="77777777" w:rsidR="00A60FAE" w:rsidRPr="005262E5" w:rsidRDefault="00A60FAE" w:rsidP="008838DB">
            <w:pPr>
              <w:spacing w:after="120"/>
              <w:jc w:val="both"/>
            </w:pPr>
            <w:r w:rsidRPr="005262E5">
              <w:t xml:space="preserve">b) declarație conform căreia majorarea de cheltuială respectivă este compatibilă cu obiectivele și prioritățile strategice specificate în strategia fiscal-bugetară, cu legea bugetară anuală și cu plafoanele </w:t>
            </w:r>
            <w:r w:rsidR="00A82648" w:rsidRPr="005262E5">
              <w:t xml:space="preserve">de cheltuieli </w:t>
            </w:r>
            <w:r w:rsidRPr="005262E5">
              <w:t>prezentate în strategia fiscal-bugetară.</w:t>
            </w:r>
          </w:p>
          <w:p w14:paraId="699F79A9" w14:textId="60F79037" w:rsidR="00C66683" w:rsidRPr="005262E5" w:rsidRDefault="00C66683" w:rsidP="008838DB">
            <w:pPr>
              <w:spacing w:after="120"/>
              <w:jc w:val="both"/>
            </w:pPr>
            <w:r w:rsidRPr="005262E5">
              <w:t xml:space="preserve">Nu e cazul </w:t>
            </w:r>
          </w:p>
        </w:tc>
      </w:tr>
      <w:tr w:rsidR="00AB30EB" w:rsidRPr="005262E5" w14:paraId="675CE50B" w14:textId="77777777" w:rsidTr="00D72556">
        <w:tc>
          <w:tcPr>
            <w:tcW w:w="10533" w:type="dxa"/>
            <w:gridSpan w:val="7"/>
          </w:tcPr>
          <w:p w14:paraId="554D3F6A" w14:textId="77777777" w:rsidR="00B4537B" w:rsidRPr="005262E5" w:rsidRDefault="00B4537B" w:rsidP="008838DB">
            <w:pPr>
              <w:spacing w:after="120"/>
              <w:rPr>
                <w:b/>
                <w:bCs/>
                <w:noProof/>
              </w:rPr>
            </w:pPr>
            <w:r w:rsidRPr="005262E5">
              <w:rPr>
                <w:b/>
                <w:bCs/>
                <w:noProof/>
              </w:rPr>
              <w:t>4.8. Alte informații</w:t>
            </w:r>
          </w:p>
          <w:p w14:paraId="64B74EF4" w14:textId="3273B806" w:rsidR="00C66683" w:rsidRPr="000E4B24" w:rsidRDefault="00C66683" w:rsidP="00C66683">
            <w:pPr>
              <w:spacing w:after="120"/>
              <w:jc w:val="both"/>
              <w:rPr>
                <w:noProof/>
              </w:rPr>
            </w:pPr>
          </w:p>
        </w:tc>
      </w:tr>
    </w:tbl>
    <w:p w14:paraId="2F7ACEA9" w14:textId="244FFF1C" w:rsidR="003864F6" w:rsidRPr="005262E5" w:rsidRDefault="00670C79" w:rsidP="008838DB">
      <w:pPr>
        <w:spacing w:after="120"/>
        <w:jc w:val="both"/>
        <w:rPr>
          <w:b/>
        </w:rPr>
      </w:pPr>
      <w:r w:rsidRPr="005262E5">
        <w:rPr>
          <w:b/>
        </w:rPr>
        <w:t xml:space="preserve">   </w:t>
      </w:r>
    </w:p>
    <w:p w14:paraId="777ED2E4" w14:textId="4D9BF037" w:rsidR="00B4537B" w:rsidRPr="007C607E" w:rsidRDefault="00670C79" w:rsidP="000E4B24">
      <w:pPr>
        <w:spacing w:after="120"/>
        <w:ind w:firstLine="720"/>
        <w:jc w:val="center"/>
        <w:rPr>
          <w:b/>
        </w:rPr>
      </w:pPr>
      <w:r w:rsidRPr="007C607E">
        <w:rPr>
          <w:b/>
        </w:rPr>
        <w:t>Secţiunea a 5-a</w:t>
      </w:r>
    </w:p>
    <w:p w14:paraId="7E1BCAF6" w14:textId="576D5D21" w:rsidR="00670C79" w:rsidRPr="007C607E" w:rsidRDefault="00670C79" w:rsidP="000E4B24">
      <w:pPr>
        <w:spacing w:after="120"/>
        <w:ind w:firstLine="720"/>
        <w:jc w:val="center"/>
        <w:rPr>
          <w:b/>
        </w:rPr>
      </w:pPr>
      <w:r w:rsidRPr="007C607E">
        <w:rPr>
          <w:b/>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5262E5" w14:paraId="327176B4" w14:textId="77777777" w:rsidTr="00B400EE">
        <w:trPr>
          <w:trHeight w:val="561"/>
        </w:trPr>
        <w:tc>
          <w:tcPr>
            <w:tcW w:w="10533" w:type="dxa"/>
          </w:tcPr>
          <w:p w14:paraId="4F9076D7" w14:textId="407D2D2C" w:rsidR="00973701" w:rsidRPr="007C607E" w:rsidRDefault="00973701" w:rsidP="008838DB">
            <w:pPr>
              <w:spacing w:after="120"/>
              <w:jc w:val="both"/>
              <w:rPr>
                <w:b/>
                <w:bCs/>
              </w:rPr>
            </w:pPr>
            <w:r w:rsidRPr="007C607E">
              <w:rPr>
                <w:b/>
                <w:bCs/>
              </w:rPr>
              <w:t>5.1. Măsuri normative necesare pentru aplicarea prevederilor proiectului de act normativ</w:t>
            </w:r>
          </w:p>
          <w:p w14:paraId="743AC6A9" w14:textId="6EF5E3D8" w:rsidR="00C66683" w:rsidRPr="007C607E" w:rsidRDefault="0073697C" w:rsidP="008838DB">
            <w:pPr>
              <w:tabs>
                <w:tab w:val="left" w:pos="201"/>
              </w:tabs>
              <w:spacing w:after="120"/>
              <w:jc w:val="both"/>
            </w:pPr>
            <w:r>
              <w:t>S</w:t>
            </w:r>
            <w:r w:rsidR="00C66683" w:rsidRPr="007C607E">
              <w:t>chem</w:t>
            </w:r>
            <w:r>
              <w:t>ă</w:t>
            </w:r>
            <w:r w:rsidR="00C66683" w:rsidRPr="007C607E">
              <w:t xml:space="preserve"> de ajutor de stat </w:t>
            </w:r>
            <w:r w:rsidR="007B69AE" w:rsidRPr="007B69AE">
              <w:t>- Sprijin pentru IMM-urile din domeniul agriculturii, pisciculturii și acvaculturii, care va fi supusă aprobării Comisiei Europene</w:t>
            </w:r>
          </w:p>
          <w:p w14:paraId="79B335E6" w14:textId="58C76356" w:rsidR="00973701" w:rsidRPr="002F265C" w:rsidRDefault="00973701" w:rsidP="008838DB">
            <w:pPr>
              <w:tabs>
                <w:tab w:val="left" w:pos="201"/>
              </w:tabs>
              <w:spacing w:after="120"/>
              <w:jc w:val="both"/>
              <w:rPr>
                <w:b/>
                <w:bCs/>
              </w:rPr>
            </w:pPr>
            <w:r w:rsidRPr="002F265C">
              <w:rPr>
                <w:b/>
                <w:bCs/>
              </w:rPr>
              <w:t>5.2. Impactul asupra legislației în domeniul achizițiilor publice</w:t>
            </w:r>
          </w:p>
          <w:p w14:paraId="3CE6B9A6" w14:textId="78845DF6" w:rsidR="00973701" w:rsidRPr="005262E5" w:rsidRDefault="00973701" w:rsidP="008838DB">
            <w:pPr>
              <w:tabs>
                <w:tab w:val="left" w:pos="201"/>
              </w:tabs>
              <w:spacing w:after="120"/>
              <w:jc w:val="both"/>
              <w:rPr>
                <w:b/>
                <w:bCs/>
              </w:rPr>
            </w:pPr>
            <w:r w:rsidRPr="005262E5">
              <w:rPr>
                <w:b/>
                <w:bCs/>
              </w:rPr>
              <w:t>5.3. Conformitatea  proiectului de act normativ cu legislaţia UE (în cazul proiectelor ce transpun sau asigură aplicarea unor prevederi de drept UE)</w:t>
            </w:r>
          </w:p>
          <w:p w14:paraId="3EB922B7" w14:textId="440D1749" w:rsidR="00456611" w:rsidRPr="00DD3AC8" w:rsidRDefault="00973701" w:rsidP="00C66683">
            <w:pPr>
              <w:tabs>
                <w:tab w:val="left" w:pos="201"/>
              </w:tabs>
              <w:spacing w:after="120"/>
              <w:jc w:val="both"/>
              <w:rPr>
                <w:b/>
                <w:bCs/>
              </w:rPr>
            </w:pPr>
            <w:r w:rsidRPr="005262E5">
              <w:rPr>
                <w:b/>
                <w:bCs/>
              </w:rPr>
              <w:t>5.3.1. Măsuri normative necesare transpunerii directivelor UE</w:t>
            </w:r>
          </w:p>
          <w:p w14:paraId="4087DBF1" w14:textId="4516FADD" w:rsidR="00973701" w:rsidRPr="005262E5" w:rsidRDefault="00674D58" w:rsidP="008838DB">
            <w:pPr>
              <w:tabs>
                <w:tab w:val="left" w:pos="201"/>
              </w:tabs>
              <w:spacing w:after="120"/>
              <w:jc w:val="both"/>
              <w:rPr>
                <w:b/>
                <w:bCs/>
              </w:rPr>
            </w:pPr>
            <w:r w:rsidRPr="005262E5">
              <w:rPr>
                <w:b/>
                <w:bCs/>
              </w:rPr>
              <w:t>5.3.2. Măsuri normative necesare aplicării actelor legislative UE</w:t>
            </w:r>
          </w:p>
          <w:p w14:paraId="08C182C3" w14:textId="16DA27B5" w:rsidR="00C66683" w:rsidRPr="005262E5" w:rsidRDefault="00674D58" w:rsidP="00C66683">
            <w:pPr>
              <w:tabs>
                <w:tab w:val="left" w:pos="201"/>
              </w:tabs>
              <w:spacing w:after="120"/>
              <w:jc w:val="both"/>
            </w:pPr>
            <w:r w:rsidRPr="005262E5">
              <w:rPr>
                <w:b/>
                <w:bCs/>
              </w:rPr>
              <w:t>5.4. Hotărâri ale Curţii de Justiţie a Uniunii Europene</w:t>
            </w:r>
            <w:r w:rsidR="002623AD" w:rsidRPr="005262E5">
              <w:rPr>
                <w:b/>
                <w:bCs/>
              </w:rPr>
              <w:t xml:space="preserve"> </w:t>
            </w:r>
          </w:p>
          <w:p w14:paraId="7C430706" w14:textId="2CEF3252" w:rsidR="00973701" w:rsidRPr="005262E5" w:rsidRDefault="00674D58" w:rsidP="008838DB">
            <w:pPr>
              <w:tabs>
                <w:tab w:val="left" w:pos="201"/>
              </w:tabs>
              <w:spacing w:after="120"/>
              <w:jc w:val="both"/>
            </w:pPr>
            <w:r w:rsidRPr="005262E5">
              <w:rPr>
                <w:b/>
                <w:bCs/>
              </w:rPr>
              <w:t>5.5. Alte acte normative şi/sau documente internaţionale din care decurg angajamente asumate</w:t>
            </w:r>
            <w:r w:rsidR="002623AD" w:rsidRPr="005262E5">
              <w:rPr>
                <w:b/>
                <w:bCs/>
              </w:rPr>
              <w:t xml:space="preserve"> </w:t>
            </w:r>
            <w:r w:rsidRPr="005262E5">
              <w:rPr>
                <w:b/>
                <w:bCs/>
              </w:rPr>
              <w:t>5.6. Alte informații</w:t>
            </w:r>
          </w:p>
        </w:tc>
      </w:tr>
    </w:tbl>
    <w:p w14:paraId="7203B83A" w14:textId="77777777" w:rsidR="00DB715E" w:rsidRPr="005262E5" w:rsidRDefault="00DB715E" w:rsidP="008838DB">
      <w:pPr>
        <w:spacing w:after="120"/>
        <w:rPr>
          <w:b/>
        </w:rPr>
      </w:pPr>
      <w:r w:rsidRPr="005262E5">
        <w:rPr>
          <w:b/>
        </w:rPr>
        <w:t xml:space="preserve">   </w:t>
      </w:r>
    </w:p>
    <w:p w14:paraId="6F04DAD9" w14:textId="7B8E5E79" w:rsidR="00BB0782" w:rsidRPr="005262E5" w:rsidRDefault="00BB0782" w:rsidP="000E4B24">
      <w:pPr>
        <w:spacing w:after="120"/>
        <w:ind w:firstLine="720"/>
        <w:jc w:val="center"/>
        <w:rPr>
          <w:b/>
        </w:rPr>
      </w:pPr>
      <w:r w:rsidRPr="005262E5">
        <w:rPr>
          <w:b/>
        </w:rPr>
        <w:t>Secțiunea a 6-a</w:t>
      </w:r>
    </w:p>
    <w:p w14:paraId="4113E59E" w14:textId="59419D76" w:rsidR="00670C79" w:rsidRPr="005262E5" w:rsidRDefault="00670C79" w:rsidP="000E4B24">
      <w:pPr>
        <w:spacing w:after="120"/>
        <w:ind w:firstLine="720"/>
        <w:jc w:val="center"/>
        <w:rPr>
          <w:b/>
        </w:rPr>
      </w:pPr>
      <w:r w:rsidRPr="005262E5">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5262E5" w14:paraId="5EB7CDBC" w14:textId="77777777" w:rsidTr="00096014">
        <w:tc>
          <w:tcPr>
            <w:tcW w:w="10533" w:type="dxa"/>
          </w:tcPr>
          <w:p w14:paraId="7148D156" w14:textId="61F2FEEF" w:rsidR="002F265C" w:rsidRPr="00DD3AC8" w:rsidRDefault="00770E01" w:rsidP="008838DB">
            <w:pPr>
              <w:spacing w:after="120"/>
              <w:jc w:val="both"/>
              <w:rPr>
                <w:b/>
                <w:bCs/>
              </w:rPr>
            </w:pPr>
            <w:r w:rsidRPr="005262E5">
              <w:rPr>
                <w:b/>
                <w:bCs/>
              </w:rPr>
              <w:t>6.1. Informații privind neaplicarea procedurii de participare la elaborarea actelor normative</w:t>
            </w:r>
          </w:p>
          <w:p w14:paraId="0B61431A" w14:textId="6CDCE4F7" w:rsidR="00770E01" w:rsidRPr="009565C3" w:rsidRDefault="00770E01" w:rsidP="008838DB">
            <w:pPr>
              <w:spacing w:after="120"/>
              <w:jc w:val="both"/>
              <w:rPr>
                <w:b/>
                <w:bCs/>
              </w:rPr>
            </w:pPr>
            <w:r w:rsidRPr="002F265C">
              <w:rPr>
                <w:b/>
                <w:bCs/>
              </w:rPr>
              <w:t>6.2. Informaţii privind procesul de consultare cu organizaţii neguvernamentale, institute de cercetare şi alte organisme implicate</w:t>
            </w:r>
          </w:p>
          <w:p w14:paraId="2BABECC5" w14:textId="5AB3CE08" w:rsidR="00926ABC" w:rsidRPr="005262E5" w:rsidRDefault="00770E01" w:rsidP="008838DB">
            <w:pPr>
              <w:spacing w:after="120"/>
              <w:jc w:val="both"/>
              <w:rPr>
                <w:b/>
                <w:bCs/>
              </w:rPr>
            </w:pPr>
            <w:r w:rsidRPr="005262E5">
              <w:rPr>
                <w:b/>
                <w:bCs/>
              </w:rPr>
              <w:t>6.3. Informații despre consultările organizate cu autoritățile administrației publice locale</w:t>
            </w:r>
          </w:p>
          <w:p w14:paraId="53F02791" w14:textId="383D0698" w:rsidR="00770E01" w:rsidRPr="005262E5" w:rsidRDefault="00770E01" w:rsidP="008838DB">
            <w:pPr>
              <w:spacing w:after="120"/>
              <w:jc w:val="both"/>
              <w:rPr>
                <w:b/>
                <w:bCs/>
              </w:rPr>
            </w:pPr>
            <w:r w:rsidRPr="005262E5">
              <w:rPr>
                <w:b/>
                <w:bCs/>
              </w:rPr>
              <w:t>6.4. Informații privind puncte de vedere/opinii emise de organisme consulative constituite prin acte normative</w:t>
            </w:r>
          </w:p>
          <w:p w14:paraId="0FF572CC" w14:textId="3F3A66CE" w:rsidR="00770E01" w:rsidRPr="005262E5" w:rsidRDefault="00770E01" w:rsidP="008838DB">
            <w:pPr>
              <w:spacing w:after="120"/>
              <w:jc w:val="both"/>
              <w:rPr>
                <w:b/>
                <w:bCs/>
              </w:rPr>
            </w:pPr>
            <w:r w:rsidRPr="005262E5">
              <w:rPr>
                <w:b/>
                <w:bCs/>
              </w:rPr>
              <w:t>6.5</w:t>
            </w:r>
            <w:r w:rsidR="004555DD" w:rsidRPr="005262E5">
              <w:rPr>
                <w:b/>
                <w:bCs/>
              </w:rPr>
              <w:t>.</w:t>
            </w:r>
            <w:r w:rsidRPr="005262E5">
              <w:rPr>
                <w:b/>
                <w:bCs/>
              </w:rPr>
              <w:t xml:space="preserve"> Informații privind avizarea de către:</w:t>
            </w:r>
          </w:p>
          <w:p w14:paraId="3DD2ED4C" w14:textId="434A7742" w:rsidR="00770E01" w:rsidRPr="000E4B24" w:rsidRDefault="00770E01" w:rsidP="008838DB">
            <w:pPr>
              <w:spacing w:after="120"/>
              <w:jc w:val="both"/>
              <w:rPr>
                <w:b/>
                <w:bCs/>
              </w:rPr>
            </w:pPr>
            <w:r w:rsidRPr="005262E5">
              <w:lastRenderedPageBreak/>
              <w:t xml:space="preserve">a) </w:t>
            </w:r>
            <w:r w:rsidRPr="000E4B24">
              <w:rPr>
                <w:b/>
                <w:bCs/>
              </w:rPr>
              <w:t xml:space="preserve">Consiliul </w:t>
            </w:r>
            <w:r w:rsidR="008F6907" w:rsidRPr="000E4B24">
              <w:rPr>
                <w:b/>
                <w:bCs/>
              </w:rPr>
              <w:t>L</w:t>
            </w:r>
            <w:r w:rsidRPr="000E4B24">
              <w:rPr>
                <w:b/>
                <w:bCs/>
              </w:rPr>
              <w:t>egislativ</w:t>
            </w:r>
          </w:p>
          <w:p w14:paraId="5FE65553" w14:textId="15D2A101" w:rsidR="00770E01" w:rsidRPr="005262E5" w:rsidRDefault="00770E01" w:rsidP="008838DB">
            <w:pPr>
              <w:spacing w:after="120"/>
              <w:jc w:val="both"/>
            </w:pPr>
            <w:r w:rsidRPr="005262E5">
              <w:t>b)</w:t>
            </w:r>
            <w:r w:rsidR="00456611" w:rsidRPr="005262E5">
              <w:t xml:space="preserve"> </w:t>
            </w:r>
            <w:r w:rsidRPr="005262E5">
              <w:t>Consiliul Suprem de Apărare a Ţării</w:t>
            </w:r>
          </w:p>
          <w:p w14:paraId="22642D64" w14:textId="4C777137" w:rsidR="00770E01" w:rsidRPr="005262E5" w:rsidRDefault="00770E01" w:rsidP="008838DB">
            <w:pPr>
              <w:spacing w:after="120"/>
              <w:jc w:val="both"/>
            </w:pPr>
            <w:r w:rsidRPr="005262E5">
              <w:t>c)</w:t>
            </w:r>
            <w:r w:rsidR="00456611" w:rsidRPr="005262E5">
              <w:t xml:space="preserve"> </w:t>
            </w:r>
            <w:r w:rsidRPr="005262E5">
              <w:t>Consiliul Economic şi Social</w:t>
            </w:r>
          </w:p>
          <w:p w14:paraId="782E1FCE" w14:textId="1D3F1A42" w:rsidR="00770E01" w:rsidRPr="009565C3" w:rsidRDefault="00770E01" w:rsidP="008838DB">
            <w:pPr>
              <w:spacing w:after="120"/>
              <w:jc w:val="both"/>
            </w:pPr>
            <w:r w:rsidRPr="005262E5">
              <w:t>d)</w:t>
            </w:r>
            <w:r w:rsidR="00456611" w:rsidRPr="005262E5">
              <w:t xml:space="preserve"> </w:t>
            </w:r>
            <w:r w:rsidRPr="000E4B24">
              <w:rPr>
                <w:b/>
                <w:bCs/>
              </w:rPr>
              <w:t>Consiliul Concurenţei</w:t>
            </w:r>
            <w:r w:rsidRPr="00CF4533">
              <w:t xml:space="preserve"> </w:t>
            </w:r>
          </w:p>
          <w:p w14:paraId="7E62C2BF" w14:textId="18DF1033" w:rsidR="00770E01" w:rsidRPr="000E4B24" w:rsidRDefault="00770E01" w:rsidP="008838DB">
            <w:pPr>
              <w:spacing w:after="120"/>
              <w:jc w:val="both"/>
              <w:rPr>
                <w:b/>
                <w:bCs/>
              </w:rPr>
            </w:pPr>
            <w:r w:rsidRPr="009565C3">
              <w:t>e</w:t>
            </w:r>
            <w:r w:rsidRPr="000E4B24">
              <w:rPr>
                <w:b/>
                <w:bCs/>
              </w:rPr>
              <w:t>)</w:t>
            </w:r>
            <w:r w:rsidR="00456611" w:rsidRPr="000E4B24">
              <w:rPr>
                <w:b/>
                <w:bCs/>
              </w:rPr>
              <w:t xml:space="preserve"> </w:t>
            </w:r>
            <w:r w:rsidRPr="000E4B24">
              <w:rPr>
                <w:b/>
                <w:bCs/>
              </w:rPr>
              <w:t>Curtea de Conturi</w:t>
            </w:r>
          </w:p>
          <w:p w14:paraId="04D7CC91" w14:textId="77777777" w:rsidR="00770E01" w:rsidRPr="005262E5" w:rsidRDefault="00770E01" w:rsidP="008838DB">
            <w:pPr>
              <w:spacing w:after="120"/>
              <w:jc w:val="both"/>
              <w:rPr>
                <w:b/>
                <w:bCs/>
              </w:rPr>
            </w:pPr>
            <w:r w:rsidRPr="005262E5">
              <w:rPr>
                <w:b/>
                <w:bCs/>
              </w:rPr>
              <w:t>6.6. Alte informații</w:t>
            </w:r>
          </w:p>
          <w:p w14:paraId="0F1558A0" w14:textId="4407F0DB" w:rsidR="00014404" w:rsidRPr="005262E5" w:rsidRDefault="00014404" w:rsidP="00014404">
            <w:pPr>
              <w:spacing w:after="120"/>
              <w:jc w:val="both"/>
            </w:pPr>
            <w:r w:rsidRPr="005262E5">
              <w:t xml:space="preserve">Proiectul de act normativ a fost avizat  de  Consiliul Legislativ prin avizul nr......... </w:t>
            </w:r>
          </w:p>
          <w:p w14:paraId="32E03757" w14:textId="40F5B736" w:rsidR="00014404" w:rsidRPr="009565C3" w:rsidRDefault="00014404" w:rsidP="00014404">
            <w:pPr>
              <w:spacing w:after="120"/>
              <w:jc w:val="both"/>
              <w:rPr>
                <w:b/>
                <w:bCs/>
              </w:rPr>
            </w:pPr>
            <w:r w:rsidRPr="005262E5">
              <w:t xml:space="preserve">S-a solicitat punctul de vedere al Curții de Conturi și Autoritatea de Audit din cadrul Curții de Conturi a României,  Consiliul Concurenței </w:t>
            </w:r>
            <w:r w:rsidRPr="000E4B24">
              <w:t>și Banca Națională a României.</w:t>
            </w:r>
          </w:p>
        </w:tc>
      </w:tr>
    </w:tbl>
    <w:p w14:paraId="6E0461F2" w14:textId="77777777" w:rsidR="00260E13" w:rsidRPr="005262E5" w:rsidRDefault="00260E13" w:rsidP="008838DB">
      <w:pPr>
        <w:pStyle w:val="BodyTextIndent2"/>
        <w:spacing w:before="0" w:line="240" w:lineRule="auto"/>
        <w:ind w:right="98" w:firstLine="0"/>
        <w:jc w:val="both"/>
        <w:rPr>
          <w:bCs w:val="0"/>
          <w:sz w:val="24"/>
        </w:rPr>
      </w:pPr>
    </w:p>
    <w:p w14:paraId="311858C9" w14:textId="48DCA523" w:rsidR="00770E01" w:rsidRPr="005262E5" w:rsidRDefault="00670C79" w:rsidP="000E4B24">
      <w:pPr>
        <w:pStyle w:val="BodyTextIndent2"/>
        <w:spacing w:before="0" w:line="240" w:lineRule="auto"/>
        <w:ind w:left="180" w:right="98" w:firstLine="540"/>
        <w:jc w:val="center"/>
        <w:rPr>
          <w:bCs w:val="0"/>
          <w:sz w:val="24"/>
        </w:rPr>
      </w:pPr>
      <w:r w:rsidRPr="005262E5">
        <w:rPr>
          <w:bCs w:val="0"/>
          <w:sz w:val="24"/>
        </w:rPr>
        <w:t>Secţiunea a 7-a</w:t>
      </w:r>
    </w:p>
    <w:p w14:paraId="45DA67B7" w14:textId="070DA24F" w:rsidR="00260E13" w:rsidRPr="005262E5" w:rsidRDefault="00670C79" w:rsidP="000E4B24">
      <w:pPr>
        <w:pStyle w:val="BodyTextIndent2"/>
        <w:spacing w:before="0" w:line="240" w:lineRule="auto"/>
        <w:ind w:left="180" w:right="98" w:firstLine="540"/>
        <w:jc w:val="center"/>
        <w:rPr>
          <w:bCs w:val="0"/>
          <w:sz w:val="24"/>
        </w:rPr>
      </w:pPr>
      <w:r w:rsidRPr="005262E5">
        <w:rPr>
          <w:bCs w:val="0"/>
          <w:sz w:val="24"/>
        </w:rPr>
        <w:t xml:space="preserve">Activităţi de informare publică privind elaborarea şi implementarea </w:t>
      </w:r>
      <w:bookmarkStart w:id="0" w:name="_Hlk100229941"/>
      <w:r w:rsidRPr="005262E5">
        <w:rPr>
          <w:bCs w:val="0"/>
          <w:sz w:val="24"/>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5262E5" w14:paraId="416004E3" w14:textId="77777777" w:rsidTr="00634CAE">
        <w:tc>
          <w:tcPr>
            <w:tcW w:w="10533" w:type="dxa"/>
          </w:tcPr>
          <w:p w14:paraId="29554504" w14:textId="3E86BEBC" w:rsidR="00770E01" w:rsidRPr="005262E5" w:rsidRDefault="00770E01" w:rsidP="008838DB">
            <w:pPr>
              <w:spacing w:after="120"/>
              <w:jc w:val="both"/>
              <w:rPr>
                <w:b/>
                <w:bCs/>
              </w:rPr>
            </w:pPr>
            <w:r w:rsidRPr="005262E5">
              <w:rPr>
                <w:b/>
                <w:bCs/>
              </w:rPr>
              <w:t xml:space="preserve">7.1. </w:t>
            </w:r>
            <w:r w:rsidR="0053566B" w:rsidRPr="005262E5">
              <w:rPr>
                <w:b/>
                <w:bCs/>
              </w:rPr>
              <w:t>Informarea societăţii civile cu privire la elaborarea proiectului de act normativ</w:t>
            </w:r>
          </w:p>
          <w:p w14:paraId="1F1D3AD8" w14:textId="77777777" w:rsidR="007B69AE" w:rsidRDefault="00751E20" w:rsidP="008838DB">
            <w:pPr>
              <w:spacing w:after="120"/>
              <w:jc w:val="both"/>
            </w:pPr>
            <w:r w:rsidRPr="00751E20">
              <w:t xml:space="preserve">Prezentul proiect de act normativ respectă prevederile art. 7 alin. (13) din Legea nr. 52/2003 privind transparența decizională în administrația publică, republicată, și a fost publicat în dezbatere publică pe pagina de internet a Ministerului Investițiilor și Proiectelor Europene la data de </w:t>
            </w:r>
            <w:r>
              <w:t>29.04.</w:t>
            </w:r>
            <w:r w:rsidRPr="00751E20">
              <w:t>2022.</w:t>
            </w:r>
            <w:r w:rsidR="00CF4533">
              <w:t xml:space="preserve"> </w:t>
            </w:r>
          </w:p>
          <w:p w14:paraId="3695E7F7" w14:textId="3753A63D" w:rsidR="0053566B" w:rsidRPr="005262E5" w:rsidRDefault="0053566B" w:rsidP="008838DB">
            <w:pPr>
              <w:spacing w:after="120"/>
              <w:jc w:val="both"/>
              <w:rPr>
                <w:b/>
                <w:bCs/>
              </w:rPr>
            </w:pPr>
            <w:r w:rsidRPr="00CF4533">
              <w:rPr>
                <w:b/>
                <w:bCs/>
              </w:rPr>
              <w:t>7.2. Informarea societăţii civile cu privire la e</w:t>
            </w:r>
            <w:r w:rsidR="008F6907" w:rsidRPr="009565C3">
              <w:rPr>
                <w:b/>
                <w:bCs/>
              </w:rPr>
              <w:t>v</w:t>
            </w:r>
            <w:r w:rsidRPr="009565C3">
              <w:rPr>
                <w:b/>
                <w:bCs/>
              </w:rPr>
              <w:t>entualul impact asupra mediului în urma implementării proiectului de act normativ, precum și efectele asupra sănătății și securității cetățenilor sau diversității biologice</w:t>
            </w:r>
          </w:p>
          <w:p w14:paraId="6A2C5259" w14:textId="2EF9212E" w:rsidR="008F6907" w:rsidRPr="005262E5" w:rsidRDefault="008F6907" w:rsidP="008838DB">
            <w:pPr>
              <w:spacing w:after="120"/>
              <w:jc w:val="both"/>
              <w:rPr>
                <w:b/>
                <w:bCs/>
              </w:rPr>
            </w:pPr>
            <w:r w:rsidRPr="005262E5">
              <w:rPr>
                <w:b/>
                <w:bCs/>
              </w:rPr>
              <w:t>7.3. Alte informații</w:t>
            </w:r>
          </w:p>
        </w:tc>
      </w:tr>
    </w:tbl>
    <w:p w14:paraId="1DCAD9D0" w14:textId="77777777" w:rsidR="002E20A6" w:rsidRPr="005262E5" w:rsidRDefault="002E20A6" w:rsidP="008838DB">
      <w:pPr>
        <w:spacing w:after="120"/>
        <w:rPr>
          <w:b/>
        </w:rPr>
      </w:pPr>
    </w:p>
    <w:p w14:paraId="341152AF" w14:textId="1E5214D5" w:rsidR="0053566B" w:rsidRPr="005262E5" w:rsidRDefault="00670C79" w:rsidP="000E4B24">
      <w:pPr>
        <w:spacing w:after="120"/>
        <w:ind w:left="180" w:firstLine="540"/>
        <w:jc w:val="center"/>
        <w:rPr>
          <w:b/>
        </w:rPr>
      </w:pPr>
      <w:r w:rsidRPr="005262E5">
        <w:rPr>
          <w:b/>
        </w:rPr>
        <w:t>Secţiunea a 8- a</w:t>
      </w:r>
    </w:p>
    <w:p w14:paraId="3FBCA191" w14:textId="2A77164A" w:rsidR="00670C79" w:rsidRPr="005262E5" w:rsidRDefault="00670C79" w:rsidP="000E4B24">
      <w:pPr>
        <w:spacing w:after="120"/>
        <w:ind w:left="180" w:firstLine="540"/>
        <w:jc w:val="center"/>
        <w:rPr>
          <w:b/>
        </w:rPr>
      </w:pPr>
      <w:r w:rsidRPr="005262E5">
        <w:rPr>
          <w:b/>
        </w:rPr>
        <w:t xml:space="preserve">Măsuri </w:t>
      </w:r>
      <w:r w:rsidR="0053566B" w:rsidRPr="005262E5">
        <w:rPr>
          <w:b/>
        </w:rPr>
        <w:t>privind</w:t>
      </w:r>
      <w:r w:rsidRPr="005262E5">
        <w:rPr>
          <w:b/>
        </w:rPr>
        <w:t xml:space="preserve"> implementare</w:t>
      </w:r>
      <w:r w:rsidR="0053566B" w:rsidRPr="005262E5">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AB30EB" w:rsidRPr="005262E5" w14:paraId="554BFAFC" w14:textId="77777777" w:rsidTr="00435BC5">
        <w:tc>
          <w:tcPr>
            <w:tcW w:w="10553" w:type="dxa"/>
          </w:tcPr>
          <w:p w14:paraId="560280B7" w14:textId="452BF905" w:rsidR="0053566B" w:rsidRPr="005262E5" w:rsidRDefault="0053566B" w:rsidP="008838DB">
            <w:pPr>
              <w:pStyle w:val="Heading1"/>
              <w:spacing w:after="120" w:line="240" w:lineRule="auto"/>
              <w:jc w:val="both"/>
              <w:rPr>
                <w:b/>
                <w:bCs/>
                <w:sz w:val="24"/>
              </w:rPr>
            </w:pPr>
            <w:r w:rsidRPr="005262E5">
              <w:rPr>
                <w:b/>
                <w:bCs/>
                <w:sz w:val="24"/>
              </w:rPr>
              <w:t>8.1. Măsuri de punere în aplicare a proiectului de act normativ</w:t>
            </w:r>
          </w:p>
          <w:p w14:paraId="5C66231A" w14:textId="77777777" w:rsidR="00014404" w:rsidRPr="005262E5" w:rsidRDefault="00014404" w:rsidP="008838DB"/>
          <w:p w14:paraId="3837F202" w14:textId="3441D3C6" w:rsidR="0053566B" w:rsidRPr="005262E5" w:rsidRDefault="0053566B" w:rsidP="008838DB">
            <w:r w:rsidRPr="005262E5">
              <w:rPr>
                <w:b/>
                <w:bCs/>
              </w:rPr>
              <w:t>8.2. Alte informaţii</w:t>
            </w:r>
          </w:p>
        </w:tc>
      </w:tr>
    </w:tbl>
    <w:p w14:paraId="31DE0037" w14:textId="0011D5CD" w:rsidR="00F55EDD" w:rsidRDefault="00F55EDD" w:rsidP="00AD0FCB">
      <w:pPr>
        <w:jc w:val="both"/>
      </w:pPr>
    </w:p>
    <w:p w14:paraId="4743D5A4" w14:textId="1067C8F4" w:rsidR="00F55EDD" w:rsidRDefault="00F55EDD" w:rsidP="00AD0FCB">
      <w:pPr>
        <w:jc w:val="both"/>
      </w:pPr>
    </w:p>
    <w:p w14:paraId="7894E79E" w14:textId="03869455" w:rsidR="00F55EDD" w:rsidRDefault="00F55EDD" w:rsidP="00AD0FCB">
      <w:pPr>
        <w:jc w:val="both"/>
      </w:pPr>
    </w:p>
    <w:p w14:paraId="5CF54523" w14:textId="486A3BC3" w:rsidR="00F55EDD" w:rsidRDefault="00F55EDD" w:rsidP="00AD0FCB">
      <w:pPr>
        <w:jc w:val="both"/>
      </w:pPr>
    </w:p>
    <w:p w14:paraId="2E837ED5" w14:textId="05A586CD" w:rsidR="00F55EDD" w:rsidRDefault="00F55EDD" w:rsidP="00AD0FCB">
      <w:pPr>
        <w:jc w:val="both"/>
      </w:pPr>
    </w:p>
    <w:p w14:paraId="3A311CA6" w14:textId="0924CC4C" w:rsidR="00F55EDD" w:rsidRDefault="00F55EDD" w:rsidP="00AD0FCB">
      <w:pPr>
        <w:jc w:val="both"/>
      </w:pPr>
    </w:p>
    <w:p w14:paraId="63BE37BB" w14:textId="136CDCA6" w:rsidR="00F55EDD" w:rsidRDefault="00F55EDD" w:rsidP="00AD0FCB">
      <w:pPr>
        <w:jc w:val="both"/>
      </w:pPr>
    </w:p>
    <w:p w14:paraId="52598C5E" w14:textId="506AD79A" w:rsidR="00F55EDD" w:rsidRDefault="00F55EDD" w:rsidP="00AD0FCB">
      <w:pPr>
        <w:jc w:val="both"/>
      </w:pPr>
    </w:p>
    <w:p w14:paraId="2DDE068A" w14:textId="39AD9C92" w:rsidR="00F55EDD" w:rsidRDefault="00F55EDD" w:rsidP="00AD0FCB">
      <w:pPr>
        <w:jc w:val="both"/>
      </w:pPr>
    </w:p>
    <w:p w14:paraId="545C6EF8" w14:textId="791A0971" w:rsidR="00F55EDD" w:rsidRDefault="00F55EDD" w:rsidP="00AD0FCB">
      <w:pPr>
        <w:jc w:val="both"/>
      </w:pPr>
    </w:p>
    <w:p w14:paraId="76E91CB9" w14:textId="67FFDBF7" w:rsidR="00F55EDD" w:rsidRDefault="00F55EDD" w:rsidP="00AD0FCB">
      <w:pPr>
        <w:jc w:val="both"/>
      </w:pPr>
    </w:p>
    <w:p w14:paraId="5DA68F2F" w14:textId="59CFF2F6" w:rsidR="00F55EDD" w:rsidRDefault="00F55EDD" w:rsidP="00AD0FCB">
      <w:pPr>
        <w:jc w:val="both"/>
      </w:pPr>
    </w:p>
    <w:p w14:paraId="19A8AEFF" w14:textId="774E2820" w:rsidR="00F55EDD" w:rsidRDefault="00F55EDD" w:rsidP="00AD0FCB">
      <w:pPr>
        <w:jc w:val="both"/>
      </w:pPr>
    </w:p>
    <w:p w14:paraId="4615F921" w14:textId="77777777" w:rsidR="00F55EDD" w:rsidRDefault="00F55EDD" w:rsidP="00AD0FCB">
      <w:pPr>
        <w:jc w:val="both"/>
      </w:pPr>
    </w:p>
    <w:p w14:paraId="2142BCD1" w14:textId="185259DF" w:rsidR="00F55EDD" w:rsidRDefault="00F55EDD" w:rsidP="00AD0FCB">
      <w:pPr>
        <w:jc w:val="both"/>
      </w:pPr>
    </w:p>
    <w:p w14:paraId="2A4E7F7A" w14:textId="49BB978D" w:rsidR="00F55EDD" w:rsidRPr="00DD3AC8" w:rsidRDefault="00DD3AC8" w:rsidP="00AD0FCB">
      <w:pPr>
        <w:jc w:val="both"/>
        <w:rPr>
          <w:b/>
          <w:bCs/>
        </w:rPr>
      </w:pPr>
      <w:r>
        <w:rPr>
          <w:b/>
          <w:bCs/>
        </w:rPr>
        <w:lastRenderedPageBreak/>
        <w:t xml:space="preserve">         </w:t>
      </w:r>
      <w:r w:rsidR="00F55EDD" w:rsidRPr="00DD3AC8">
        <w:rPr>
          <w:b/>
          <w:bCs/>
        </w:rPr>
        <w:t xml:space="preserve">Fată de cele prezentate, a fost promovată prezenta Ordonanță de urgență a Guvernului privind unele măsuri pentru acordarea de </w:t>
      </w:r>
      <w:r w:rsidR="007B69AE" w:rsidRPr="00DD3AC8">
        <w:rPr>
          <w:b/>
          <w:bCs/>
        </w:rPr>
        <w:t xml:space="preserve">microgranturi și </w:t>
      </w:r>
      <w:r w:rsidR="00F55EDD" w:rsidRPr="00DD3AC8">
        <w:rPr>
          <w:b/>
          <w:bCs/>
        </w:rPr>
        <w:t>granturi pentru capital de lucru entităților din domeniul agroalimentar cu finanțare din fonduri externe nerambursabile, care în forma prezentată a fost avizat de ministerele interesate și pe care îl supunem adoptării.</w:t>
      </w:r>
    </w:p>
    <w:p w14:paraId="7FF5B185" w14:textId="0FA8457D" w:rsidR="00F55EDD" w:rsidRPr="00DD3AC8" w:rsidRDefault="00F55EDD" w:rsidP="00AD0FCB">
      <w:pPr>
        <w:jc w:val="both"/>
        <w:rPr>
          <w:b/>
          <w:bCs/>
        </w:rPr>
      </w:pPr>
    </w:p>
    <w:p w14:paraId="457E7DCA" w14:textId="20AC7CC3" w:rsidR="00F55EDD" w:rsidRDefault="00F55EDD" w:rsidP="00AD0FCB">
      <w:pPr>
        <w:jc w:val="both"/>
      </w:pPr>
    </w:p>
    <w:p w14:paraId="143AF82B" w14:textId="77777777" w:rsidR="00F55EDD" w:rsidRPr="00356690" w:rsidRDefault="00F55EDD" w:rsidP="00AD0FC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8"/>
      </w:tblGrid>
      <w:tr w:rsidR="00AB30EB" w:rsidRPr="005262E5" w14:paraId="1AC19046" w14:textId="77777777" w:rsidTr="00DA5D82">
        <w:tc>
          <w:tcPr>
            <w:tcW w:w="4927" w:type="dxa"/>
            <w:tcBorders>
              <w:top w:val="nil"/>
              <w:left w:val="nil"/>
              <w:bottom w:val="nil"/>
              <w:right w:val="nil"/>
            </w:tcBorders>
          </w:tcPr>
          <w:p w14:paraId="3EF65168" w14:textId="6FB1CFA7" w:rsidR="00014404" w:rsidRPr="00DA5D82" w:rsidRDefault="009565C3" w:rsidP="004D44B3">
            <w:pPr>
              <w:jc w:val="center"/>
              <w:rPr>
                <w:b/>
                <w:bCs/>
              </w:rPr>
            </w:pPr>
            <w:r w:rsidRPr="00DA5D82">
              <w:rPr>
                <w:b/>
                <w:bCs/>
              </w:rPr>
              <w:t xml:space="preserve">MINISTRUL INVESTIȚIILOR ȘI PROIECTELOR EUROPENE, INTERIMAR </w:t>
            </w:r>
          </w:p>
          <w:p w14:paraId="0A9DC625" w14:textId="77777777" w:rsidR="00014404" w:rsidRPr="00DA5D82" w:rsidRDefault="00014404" w:rsidP="004D44B3">
            <w:pPr>
              <w:jc w:val="center"/>
              <w:rPr>
                <w:b/>
                <w:bCs/>
              </w:rPr>
            </w:pPr>
          </w:p>
          <w:p w14:paraId="61C7383B" w14:textId="77777777" w:rsidR="00014404" w:rsidRPr="00DA5D82" w:rsidRDefault="00014404" w:rsidP="004D44B3">
            <w:pPr>
              <w:jc w:val="center"/>
              <w:rPr>
                <w:b/>
                <w:bCs/>
              </w:rPr>
            </w:pPr>
          </w:p>
        </w:tc>
        <w:tc>
          <w:tcPr>
            <w:tcW w:w="4928" w:type="dxa"/>
            <w:tcBorders>
              <w:top w:val="nil"/>
              <w:left w:val="nil"/>
              <w:bottom w:val="nil"/>
              <w:right w:val="nil"/>
            </w:tcBorders>
          </w:tcPr>
          <w:p w14:paraId="32C51184" w14:textId="143B1E4C" w:rsidR="00014404" w:rsidRPr="00DA5D82" w:rsidRDefault="009565C3" w:rsidP="004D44B3">
            <w:pPr>
              <w:jc w:val="center"/>
              <w:rPr>
                <w:b/>
                <w:bCs/>
              </w:rPr>
            </w:pPr>
            <w:r w:rsidRPr="00DA5D82">
              <w:rPr>
                <w:b/>
                <w:bCs/>
              </w:rPr>
              <w:t>MINISTRUL ANTREPRENORIALULUI ȘI TURISMULUI</w:t>
            </w:r>
          </w:p>
          <w:p w14:paraId="4D3DC5E0" w14:textId="77777777" w:rsidR="00014404" w:rsidRPr="00DA5D82" w:rsidRDefault="00014404" w:rsidP="004D44B3">
            <w:pPr>
              <w:jc w:val="center"/>
              <w:rPr>
                <w:b/>
                <w:bCs/>
              </w:rPr>
            </w:pPr>
          </w:p>
          <w:p w14:paraId="55DD02CF" w14:textId="77777777" w:rsidR="00014404" w:rsidRPr="00DA5D82" w:rsidRDefault="00014404" w:rsidP="004D44B3">
            <w:pPr>
              <w:jc w:val="center"/>
              <w:rPr>
                <w:b/>
                <w:bCs/>
              </w:rPr>
            </w:pPr>
          </w:p>
        </w:tc>
      </w:tr>
      <w:tr w:rsidR="00AB30EB" w:rsidRPr="005262E5" w14:paraId="6BB2D7B0" w14:textId="77777777" w:rsidTr="00DA5D82">
        <w:tc>
          <w:tcPr>
            <w:tcW w:w="4927" w:type="dxa"/>
            <w:tcBorders>
              <w:top w:val="nil"/>
              <w:left w:val="nil"/>
              <w:bottom w:val="nil"/>
              <w:right w:val="nil"/>
            </w:tcBorders>
          </w:tcPr>
          <w:p w14:paraId="0EC89570" w14:textId="13783095" w:rsidR="00014404" w:rsidRPr="000E4B24" w:rsidRDefault="00CF4533" w:rsidP="004D44B3">
            <w:pPr>
              <w:jc w:val="center"/>
              <w:rPr>
                <w:b/>
                <w:bCs/>
              </w:rPr>
            </w:pPr>
            <w:r>
              <w:rPr>
                <w:b/>
                <w:bCs/>
              </w:rPr>
              <w:t xml:space="preserve">Marcel - </w:t>
            </w:r>
            <w:r w:rsidR="009565C3">
              <w:rPr>
                <w:b/>
                <w:bCs/>
              </w:rPr>
              <w:t>Ioan</w:t>
            </w:r>
            <w:r w:rsidR="00014404" w:rsidRPr="000E4B24">
              <w:rPr>
                <w:b/>
                <w:bCs/>
              </w:rPr>
              <w:t xml:space="preserve"> </w:t>
            </w:r>
            <w:r w:rsidR="009565C3" w:rsidRPr="009565C3">
              <w:rPr>
                <w:b/>
                <w:bCs/>
              </w:rPr>
              <w:t>BOLOȘ</w:t>
            </w:r>
          </w:p>
          <w:p w14:paraId="4019B285" w14:textId="77777777" w:rsidR="00014404" w:rsidRPr="000E4B24" w:rsidRDefault="00014404" w:rsidP="004D44B3">
            <w:pPr>
              <w:jc w:val="center"/>
            </w:pPr>
          </w:p>
        </w:tc>
        <w:tc>
          <w:tcPr>
            <w:tcW w:w="4928" w:type="dxa"/>
            <w:tcBorders>
              <w:top w:val="nil"/>
              <w:left w:val="nil"/>
              <w:bottom w:val="nil"/>
              <w:right w:val="nil"/>
            </w:tcBorders>
          </w:tcPr>
          <w:p w14:paraId="34E26113" w14:textId="77777777" w:rsidR="00014404" w:rsidRPr="000E4B24" w:rsidRDefault="00014404" w:rsidP="004D44B3">
            <w:pPr>
              <w:jc w:val="center"/>
            </w:pPr>
            <w:r w:rsidRPr="000E4B24">
              <w:rPr>
                <w:b/>
                <w:bCs/>
              </w:rPr>
              <w:t xml:space="preserve">Constantin-Daniel CADARIU </w:t>
            </w:r>
          </w:p>
        </w:tc>
      </w:tr>
      <w:tr w:rsidR="00AB30EB" w:rsidRPr="005262E5" w14:paraId="1AE4A919" w14:textId="77777777" w:rsidTr="00DA5D82">
        <w:tc>
          <w:tcPr>
            <w:tcW w:w="4927" w:type="dxa"/>
            <w:tcBorders>
              <w:top w:val="nil"/>
              <w:left w:val="nil"/>
              <w:bottom w:val="nil"/>
              <w:right w:val="nil"/>
            </w:tcBorders>
          </w:tcPr>
          <w:p w14:paraId="47096735" w14:textId="77777777" w:rsidR="00014404" w:rsidRPr="000E4B24" w:rsidRDefault="00014404" w:rsidP="004D44B3">
            <w:pPr>
              <w:jc w:val="center"/>
              <w:rPr>
                <w:b/>
                <w:bCs/>
              </w:rPr>
            </w:pPr>
          </w:p>
        </w:tc>
        <w:tc>
          <w:tcPr>
            <w:tcW w:w="4928" w:type="dxa"/>
            <w:tcBorders>
              <w:top w:val="nil"/>
              <w:left w:val="nil"/>
              <w:bottom w:val="nil"/>
              <w:right w:val="nil"/>
            </w:tcBorders>
          </w:tcPr>
          <w:p w14:paraId="4EC9483A" w14:textId="77777777" w:rsidR="00014404" w:rsidRPr="000E4B24" w:rsidRDefault="00014404" w:rsidP="004D44B3">
            <w:pPr>
              <w:jc w:val="center"/>
              <w:rPr>
                <w:b/>
                <w:bCs/>
              </w:rPr>
            </w:pPr>
          </w:p>
        </w:tc>
      </w:tr>
      <w:tr w:rsidR="00AB30EB" w:rsidRPr="005262E5" w14:paraId="5E57E895" w14:textId="77777777" w:rsidTr="00DA5D82">
        <w:tc>
          <w:tcPr>
            <w:tcW w:w="9855" w:type="dxa"/>
            <w:gridSpan w:val="2"/>
            <w:tcBorders>
              <w:top w:val="nil"/>
              <w:left w:val="nil"/>
              <w:bottom w:val="nil"/>
              <w:right w:val="nil"/>
            </w:tcBorders>
          </w:tcPr>
          <w:p w14:paraId="3A68B797" w14:textId="726308C9" w:rsidR="00014404" w:rsidRPr="00DA5D82" w:rsidRDefault="009565C3" w:rsidP="004D44B3">
            <w:pPr>
              <w:jc w:val="center"/>
              <w:rPr>
                <w:b/>
              </w:rPr>
            </w:pPr>
            <w:r w:rsidRPr="00DA5D82">
              <w:rPr>
                <w:b/>
              </w:rPr>
              <w:t>MINISTRUL AGRICULTURII SI DEZVOLTĂRII RURALE</w:t>
            </w:r>
          </w:p>
        </w:tc>
      </w:tr>
      <w:tr w:rsidR="00AB30EB" w:rsidRPr="005262E5" w14:paraId="4151092F" w14:textId="77777777" w:rsidTr="00DA5D82">
        <w:tc>
          <w:tcPr>
            <w:tcW w:w="9855" w:type="dxa"/>
            <w:gridSpan w:val="2"/>
            <w:tcBorders>
              <w:top w:val="nil"/>
              <w:left w:val="nil"/>
              <w:bottom w:val="nil"/>
              <w:right w:val="nil"/>
            </w:tcBorders>
          </w:tcPr>
          <w:p w14:paraId="1FA25B8C" w14:textId="77777777" w:rsidR="00014404" w:rsidRPr="000E4B24" w:rsidRDefault="00014404" w:rsidP="004D44B3">
            <w:pPr>
              <w:jc w:val="center"/>
              <w:rPr>
                <w:b/>
              </w:rPr>
            </w:pPr>
            <w:r w:rsidRPr="000E4B24">
              <w:rPr>
                <w:b/>
              </w:rPr>
              <w:t>Adrian – Ionuț CHESNOIU</w:t>
            </w:r>
          </w:p>
          <w:p w14:paraId="7013CFFB" w14:textId="017B4EB3" w:rsidR="00014404" w:rsidRDefault="00014404" w:rsidP="004D44B3">
            <w:pPr>
              <w:jc w:val="center"/>
              <w:rPr>
                <w:b/>
                <w:bCs/>
              </w:rPr>
            </w:pPr>
          </w:p>
          <w:p w14:paraId="7286E857" w14:textId="3C8C3E1A" w:rsidR="00DA5D82" w:rsidRDefault="00DA5D82" w:rsidP="004D44B3">
            <w:pPr>
              <w:jc w:val="center"/>
              <w:rPr>
                <w:b/>
                <w:bCs/>
              </w:rPr>
            </w:pPr>
          </w:p>
          <w:p w14:paraId="6B37516C" w14:textId="77777777" w:rsidR="00DA5D82" w:rsidRDefault="00DA5D82" w:rsidP="004D44B3">
            <w:pPr>
              <w:jc w:val="center"/>
              <w:rPr>
                <w:b/>
                <w:bCs/>
              </w:rPr>
            </w:pPr>
          </w:p>
          <w:p w14:paraId="0FD6FB98" w14:textId="53682ECE" w:rsidR="00D46E67" w:rsidRDefault="00F55EDD" w:rsidP="004D44B3">
            <w:pPr>
              <w:jc w:val="center"/>
              <w:rPr>
                <w:b/>
                <w:bCs/>
              </w:rPr>
            </w:pPr>
            <w:r>
              <w:rPr>
                <w:b/>
                <w:bCs/>
              </w:rPr>
              <w:t xml:space="preserve">Avizatori : </w:t>
            </w:r>
          </w:p>
          <w:p w14:paraId="2982A958" w14:textId="443B7E3E" w:rsidR="00D46E67" w:rsidRDefault="00D46E67" w:rsidP="004D44B3">
            <w:pPr>
              <w:jc w:val="center"/>
              <w:rPr>
                <w:b/>
                <w:bCs/>
              </w:rPr>
            </w:pPr>
          </w:p>
          <w:p w14:paraId="3966DA7A" w14:textId="39D85EE0" w:rsidR="00DA5D82" w:rsidRDefault="00DA5D82" w:rsidP="004D44B3">
            <w:pPr>
              <w:jc w:val="center"/>
              <w:rPr>
                <w:b/>
                <w:bCs/>
              </w:rPr>
            </w:pPr>
          </w:p>
          <w:p w14:paraId="3CBC8813" w14:textId="27BD0C6F" w:rsidR="00DA5D82" w:rsidRDefault="00DA5D82" w:rsidP="004D44B3">
            <w:pPr>
              <w:jc w:val="center"/>
              <w:rPr>
                <w:b/>
                <w:bCs/>
              </w:rPr>
            </w:pPr>
          </w:p>
          <w:p w14:paraId="1A92B566" w14:textId="77777777" w:rsidR="00DA5D82" w:rsidRDefault="00DA5D82" w:rsidP="004D44B3">
            <w:pPr>
              <w:jc w:val="center"/>
              <w:rPr>
                <w:b/>
                <w:bCs/>
              </w:rPr>
            </w:pPr>
          </w:p>
          <w:p w14:paraId="001AC1A9" w14:textId="77777777" w:rsidR="00D46E67" w:rsidRPr="00D46E67" w:rsidRDefault="00D46E67" w:rsidP="00D46E67">
            <w:pPr>
              <w:jc w:val="center"/>
              <w:rPr>
                <w:b/>
                <w:bCs/>
              </w:rPr>
            </w:pPr>
            <w:r w:rsidRPr="00D46E67">
              <w:rPr>
                <w:b/>
                <w:bCs/>
              </w:rPr>
              <w:t>SERVICIUL DE TELECOMUNICAȚII SPECIALE</w:t>
            </w:r>
          </w:p>
          <w:p w14:paraId="1D841AA8" w14:textId="77777777" w:rsidR="00D46E67" w:rsidRPr="00D46E67" w:rsidRDefault="00D46E67" w:rsidP="00D46E67">
            <w:pPr>
              <w:jc w:val="center"/>
              <w:rPr>
                <w:b/>
                <w:bCs/>
              </w:rPr>
            </w:pPr>
          </w:p>
          <w:p w14:paraId="72DA94D4" w14:textId="0945D0F1" w:rsidR="00D46E67" w:rsidRDefault="00D46E67" w:rsidP="00D46E67">
            <w:pPr>
              <w:jc w:val="center"/>
              <w:rPr>
                <w:b/>
                <w:bCs/>
              </w:rPr>
            </w:pPr>
            <w:r w:rsidRPr="00D46E67">
              <w:rPr>
                <w:b/>
                <w:bCs/>
              </w:rPr>
              <w:t>Ionel-Sorin BĂLAN</w:t>
            </w:r>
          </w:p>
          <w:p w14:paraId="566D5A95" w14:textId="3C38E656" w:rsidR="00DA5D82" w:rsidRDefault="00DA5D82" w:rsidP="00D46E67">
            <w:pPr>
              <w:jc w:val="center"/>
              <w:rPr>
                <w:b/>
                <w:bCs/>
              </w:rPr>
            </w:pPr>
          </w:p>
          <w:p w14:paraId="6DE953C5" w14:textId="2B3FA74D" w:rsidR="00DA5D82" w:rsidRDefault="00DA5D82" w:rsidP="00D46E67">
            <w:pPr>
              <w:jc w:val="center"/>
              <w:rPr>
                <w:b/>
                <w:bCs/>
              </w:rPr>
            </w:pPr>
          </w:p>
          <w:p w14:paraId="4401FCD4" w14:textId="77777777" w:rsidR="00DA5D82" w:rsidRDefault="00DA5D82" w:rsidP="00D46E67">
            <w:pPr>
              <w:jc w:val="center"/>
              <w:rPr>
                <w:b/>
                <w:bCs/>
              </w:rPr>
            </w:pPr>
          </w:p>
          <w:p w14:paraId="19844EFE" w14:textId="77777777" w:rsidR="00D46E67" w:rsidRDefault="00D46E67" w:rsidP="004D44B3">
            <w:pPr>
              <w:jc w:val="center"/>
              <w:rPr>
                <w:b/>
                <w:bCs/>
              </w:rPr>
            </w:pPr>
          </w:p>
          <w:p w14:paraId="7E6344BD" w14:textId="468C9030" w:rsidR="00D46E67" w:rsidRPr="000E4B24" w:rsidRDefault="00D46E67" w:rsidP="004D44B3">
            <w:pPr>
              <w:jc w:val="center"/>
              <w:rPr>
                <w:b/>
                <w:bCs/>
              </w:rPr>
            </w:pPr>
          </w:p>
        </w:tc>
      </w:tr>
      <w:tr w:rsidR="00AB30EB" w:rsidRPr="005262E5" w14:paraId="2DE72ED3" w14:textId="77777777" w:rsidTr="00DA5D82">
        <w:tc>
          <w:tcPr>
            <w:tcW w:w="4927" w:type="dxa"/>
            <w:tcBorders>
              <w:top w:val="nil"/>
              <w:left w:val="nil"/>
              <w:bottom w:val="nil"/>
              <w:right w:val="nil"/>
            </w:tcBorders>
          </w:tcPr>
          <w:p w14:paraId="5FADE005" w14:textId="4602BBDE" w:rsidR="00014404" w:rsidRDefault="009565C3" w:rsidP="004D44B3">
            <w:pPr>
              <w:jc w:val="center"/>
              <w:rPr>
                <w:b/>
              </w:rPr>
            </w:pPr>
            <w:r>
              <w:rPr>
                <w:b/>
              </w:rPr>
              <w:t xml:space="preserve">MINISTRUL FINANȚELOR </w:t>
            </w:r>
          </w:p>
          <w:p w14:paraId="6EC89D8A" w14:textId="4A895713" w:rsidR="009565C3" w:rsidRPr="000E4B24" w:rsidRDefault="009565C3" w:rsidP="004D44B3">
            <w:pPr>
              <w:jc w:val="center"/>
              <w:rPr>
                <w:b/>
              </w:rPr>
            </w:pPr>
            <w:r>
              <w:rPr>
                <w:b/>
              </w:rPr>
              <w:t>Adrian CÂCIU</w:t>
            </w:r>
          </w:p>
        </w:tc>
        <w:tc>
          <w:tcPr>
            <w:tcW w:w="4928" w:type="dxa"/>
            <w:tcBorders>
              <w:top w:val="nil"/>
              <w:left w:val="nil"/>
              <w:bottom w:val="nil"/>
              <w:right w:val="nil"/>
            </w:tcBorders>
          </w:tcPr>
          <w:p w14:paraId="2693BBD3" w14:textId="77777777" w:rsidR="00014404" w:rsidRDefault="009565C3" w:rsidP="004D44B3">
            <w:pPr>
              <w:jc w:val="center"/>
              <w:rPr>
                <w:b/>
                <w:bCs/>
              </w:rPr>
            </w:pPr>
            <w:r w:rsidRPr="009565C3">
              <w:rPr>
                <w:b/>
                <w:bCs/>
              </w:rPr>
              <w:t>MINISTRUL JUSTIȚIEI</w:t>
            </w:r>
          </w:p>
          <w:p w14:paraId="2150A56E" w14:textId="74B70712" w:rsidR="009565C3" w:rsidRPr="000E4B24" w:rsidRDefault="009565C3" w:rsidP="004D44B3">
            <w:pPr>
              <w:jc w:val="center"/>
              <w:rPr>
                <w:b/>
                <w:bCs/>
              </w:rPr>
            </w:pPr>
            <w:r w:rsidRPr="009565C3">
              <w:rPr>
                <w:b/>
                <w:bCs/>
              </w:rPr>
              <w:t>Marian-Cătălin PREDOIU</w:t>
            </w:r>
          </w:p>
        </w:tc>
      </w:tr>
      <w:tr w:rsidR="00AB30EB" w:rsidRPr="005262E5" w14:paraId="60F96ABA" w14:textId="77777777" w:rsidTr="00DA5D82">
        <w:tc>
          <w:tcPr>
            <w:tcW w:w="9855" w:type="dxa"/>
            <w:gridSpan w:val="2"/>
            <w:tcBorders>
              <w:top w:val="nil"/>
              <w:left w:val="nil"/>
              <w:bottom w:val="nil"/>
              <w:right w:val="nil"/>
            </w:tcBorders>
          </w:tcPr>
          <w:p w14:paraId="6DB8D764" w14:textId="77777777" w:rsidR="00014404" w:rsidRDefault="00014404">
            <w:pPr>
              <w:jc w:val="center"/>
              <w:rPr>
                <w:b/>
                <w:bCs/>
              </w:rPr>
            </w:pPr>
          </w:p>
          <w:p w14:paraId="1ED50D82" w14:textId="77777777" w:rsidR="00D46E67" w:rsidRDefault="00D46E67">
            <w:pPr>
              <w:jc w:val="center"/>
              <w:rPr>
                <w:b/>
                <w:bCs/>
              </w:rPr>
            </w:pPr>
          </w:p>
          <w:p w14:paraId="56B460FB" w14:textId="672C0552" w:rsidR="00D46E67" w:rsidRPr="000E4B24" w:rsidRDefault="00D46E67">
            <w:pPr>
              <w:jc w:val="center"/>
              <w:rPr>
                <w:b/>
                <w:bCs/>
              </w:rPr>
            </w:pPr>
          </w:p>
        </w:tc>
      </w:tr>
    </w:tbl>
    <w:p w14:paraId="47CDD878" w14:textId="4B725FDD" w:rsidR="00014404" w:rsidRPr="005262E5" w:rsidRDefault="00014404" w:rsidP="00AD0FCB">
      <w:pPr>
        <w:jc w:val="both"/>
      </w:pPr>
    </w:p>
    <w:sectPr w:rsidR="00014404" w:rsidRPr="005262E5" w:rsidSect="008E1534">
      <w:footerReference w:type="even" r:id="rId8"/>
      <w:footerReference w:type="default" r:id="rId9"/>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59A18" w14:textId="77777777" w:rsidR="003E0EF0" w:rsidRDefault="003E0EF0">
      <w:r>
        <w:separator/>
      </w:r>
    </w:p>
  </w:endnote>
  <w:endnote w:type="continuationSeparator" w:id="0">
    <w:p w14:paraId="5C041E8A" w14:textId="77777777" w:rsidR="003E0EF0" w:rsidRDefault="003E0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3E0EF0"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3E0EF0"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B83A2" w14:textId="77777777" w:rsidR="003E0EF0" w:rsidRDefault="003E0EF0">
      <w:r>
        <w:separator/>
      </w:r>
    </w:p>
  </w:footnote>
  <w:footnote w:type="continuationSeparator" w:id="0">
    <w:p w14:paraId="709EA767" w14:textId="77777777" w:rsidR="003E0EF0" w:rsidRDefault="003E0E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A9E02CE"/>
    <w:multiLevelType w:val="hybridMultilevel"/>
    <w:tmpl w:val="9B64CF54"/>
    <w:lvl w:ilvl="0" w:tplc="F98E4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870336897">
    <w:abstractNumId w:val="0"/>
  </w:num>
  <w:num w:numId="2" w16cid:durableId="2055814247">
    <w:abstractNumId w:val="12"/>
  </w:num>
  <w:num w:numId="3" w16cid:durableId="1270894184">
    <w:abstractNumId w:val="9"/>
  </w:num>
  <w:num w:numId="4" w16cid:durableId="752164812">
    <w:abstractNumId w:val="1"/>
  </w:num>
  <w:num w:numId="5" w16cid:durableId="606156661">
    <w:abstractNumId w:val="5"/>
  </w:num>
  <w:num w:numId="6" w16cid:durableId="194584915">
    <w:abstractNumId w:val="11"/>
  </w:num>
  <w:num w:numId="7" w16cid:durableId="1575582968">
    <w:abstractNumId w:val="4"/>
  </w:num>
  <w:num w:numId="8" w16cid:durableId="12742919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9076898">
    <w:abstractNumId w:val="10"/>
  </w:num>
  <w:num w:numId="10" w16cid:durableId="2094160004">
    <w:abstractNumId w:val="8"/>
  </w:num>
  <w:num w:numId="11" w16cid:durableId="470055940">
    <w:abstractNumId w:val="6"/>
  </w:num>
  <w:num w:numId="12" w16cid:durableId="1376588696">
    <w:abstractNumId w:val="3"/>
  </w:num>
  <w:num w:numId="13" w16cid:durableId="1518274933">
    <w:abstractNumId w:val="2"/>
  </w:num>
  <w:num w:numId="14" w16cid:durableId="876257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04"/>
    <w:rsid w:val="0001442E"/>
    <w:rsid w:val="000155D5"/>
    <w:rsid w:val="000160F3"/>
    <w:rsid w:val="00017D04"/>
    <w:rsid w:val="0002299E"/>
    <w:rsid w:val="00024F37"/>
    <w:rsid w:val="00025015"/>
    <w:rsid w:val="000260DD"/>
    <w:rsid w:val="000265F7"/>
    <w:rsid w:val="00026B13"/>
    <w:rsid w:val="00027469"/>
    <w:rsid w:val="00031D8D"/>
    <w:rsid w:val="0003205B"/>
    <w:rsid w:val="00035D17"/>
    <w:rsid w:val="000369EF"/>
    <w:rsid w:val="00040B7B"/>
    <w:rsid w:val="00043471"/>
    <w:rsid w:val="00043911"/>
    <w:rsid w:val="00044209"/>
    <w:rsid w:val="0004452D"/>
    <w:rsid w:val="00046413"/>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70830"/>
    <w:rsid w:val="00073195"/>
    <w:rsid w:val="000733D3"/>
    <w:rsid w:val="0007609F"/>
    <w:rsid w:val="00076C55"/>
    <w:rsid w:val="000808EE"/>
    <w:rsid w:val="00081475"/>
    <w:rsid w:val="00083DB6"/>
    <w:rsid w:val="00083EAF"/>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7D63"/>
    <w:rsid w:val="000C7EAF"/>
    <w:rsid w:val="000C7EEC"/>
    <w:rsid w:val="000D0889"/>
    <w:rsid w:val="000D23B9"/>
    <w:rsid w:val="000D2B20"/>
    <w:rsid w:val="000D315E"/>
    <w:rsid w:val="000D403B"/>
    <w:rsid w:val="000D4132"/>
    <w:rsid w:val="000D4C09"/>
    <w:rsid w:val="000E0EA4"/>
    <w:rsid w:val="000E2C2D"/>
    <w:rsid w:val="000E3A58"/>
    <w:rsid w:val="000E4B24"/>
    <w:rsid w:val="000E6FCF"/>
    <w:rsid w:val="000E74F5"/>
    <w:rsid w:val="000F26C2"/>
    <w:rsid w:val="000F40E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0A11"/>
    <w:rsid w:val="00152085"/>
    <w:rsid w:val="001528E8"/>
    <w:rsid w:val="00153B2A"/>
    <w:rsid w:val="0015446A"/>
    <w:rsid w:val="001544DC"/>
    <w:rsid w:val="0015762E"/>
    <w:rsid w:val="00157B5B"/>
    <w:rsid w:val="00160148"/>
    <w:rsid w:val="00161A61"/>
    <w:rsid w:val="00164759"/>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1323"/>
    <w:rsid w:val="0018173D"/>
    <w:rsid w:val="00181DB6"/>
    <w:rsid w:val="0019189C"/>
    <w:rsid w:val="001919CC"/>
    <w:rsid w:val="0019387C"/>
    <w:rsid w:val="001945C9"/>
    <w:rsid w:val="001957B4"/>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6DD8"/>
    <w:rsid w:val="001B7961"/>
    <w:rsid w:val="001C2EA5"/>
    <w:rsid w:val="001C33B5"/>
    <w:rsid w:val="001C3EF4"/>
    <w:rsid w:val="001C4735"/>
    <w:rsid w:val="001C4BA6"/>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418F"/>
    <w:rsid w:val="001F6D5C"/>
    <w:rsid w:val="001F700D"/>
    <w:rsid w:val="001F7034"/>
    <w:rsid w:val="001F733F"/>
    <w:rsid w:val="00200720"/>
    <w:rsid w:val="00207492"/>
    <w:rsid w:val="00210A61"/>
    <w:rsid w:val="00210E9C"/>
    <w:rsid w:val="00211627"/>
    <w:rsid w:val="002116FE"/>
    <w:rsid w:val="00213877"/>
    <w:rsid w:val="00213BDB"/>
    <w:rsid w:val="00213C63"/>
    <w:rsid w:val="002153E2"/>
    <w:rsid w:val="00217238"/>
    <w:rsid w:val="00217BF3"/>
    <w:rsid w:val="00220BDB"/>
    <w:rsid w:val="00221987"/>
    <w:rsid w:val="00221B2B"/>
    <w:rsid w:val="00223491"/>
    <w:rsid w:val="00223AFB"/>
    <w:rsid w:val="00225653"/>
    <w:rsid w:val="00227A62"/>
    <w:rsid w:val="0023001E"/>
    <w:rsid w:val="0023022A"/>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6383"/>
    <w:rsid w:val="0025682E"/>
    <w:rsid w:val="00260E13"/>
    <w:rsid w:val="00261293"/>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8BC"/>
    <w:rsid w:val="00282E65"/>
    <w:rsid w:val="00283DDB"/>
    <w:rsid w:val="00286173"/>
    <w:rsid w:val="00286541"/>
    <w:rsid w:val="002869DC"/>
    <w:rsid w:val="00286DEC"/>
    <w:rsid w:val="002870BF"/>
    <w:rsid w:val="00294152"/>
    <w:rsid w:val="0029430E"/>
    <w:rsid w:val="00294D46"/>
    <w:rsid w:val="002A409A"/>
    <w:rsid w:val="002A41C3"/>
    <w:rsid w:val="002A4A4D"/>
    <w:rsid w:val="002A7775"/>
    <w:rsid w:val="002A7B24"/>
    <w:rsid w:val="002B2155"/>
    <w:rsid w:val="002B28B0"/>
    <w:rsid w:val="002B583C"/>
    <w:rsid w:val="002B689E"/>
    <w:rsid w:val="002B7888"/>
    <w:rsid w:val="002C122C"/>
    <w:rsid w:val="002C129E"/>
    <w:rsid w:val="002C1C7F"/>
    <w:rsid w:val="002C3361"/>
    <w:rsid w:val="002C37C4"/>
    <w:rsid w:val="002C4610"/>
    <w:rsid w:val="002C5396"/>
    <w:rsid w:val="002C6EEE"/>
    <w:rsid w:val="002D2048"/>
    <w:rsid w:val="002D214D"/>
    <w:rsid w:val="002D3A08"/>
    <w:rsid w:val="002D3CFD"/>
    <w:rsid w:val="002D519D"/>
    <w:rsid w:val="002D63DE"/>
    <w:rsid w:val="002E20A6"/>
    <w:rsid w:val="002E22BC"/>
    <w:rsid w:val="002E3AFC"/>
    <w:rsid w:val="002E3BEE"/>
    <w:rsid w:val="002E51DD"/>
    <w:rsid w:val="002E5329"/>
    <w:rsid w:val="002E5723"/>
    <w:rsid w:val="002E5889"/>
    <w:rsid w:val="002E6018"/>
    <w:rsid w:val="002E6BA8"/>
    <w:rsid w:val="002E7997"/>
    <w:rsid w:val="002E7E37"/>
    <w:rsid w:val="002F01BF"/>
    <w:rsid w:val="002F0CE9"/>
    <w:rsid w:val="002F1A5E"/>
    <w:rsid w:val="002F2645"/>
    <w:rsid w:val="002F265C"/>
    <w:rsid w:val="002F36E2"/>
    <w:rsid w:val="002F4425"/>
    <w:rsid w:val="002F7FB9"/>
    <w:rsid w:val="00300E1C"/>
    <w:rsid w:val="00302ADB"/>
    <w:rsid w:val="00302D6F"/>
    <w:rsid w:val="00302EF5"/>
    <w:rsid w:val="003034B1"/>
    <w:rsid w:val="00304361"/>
    <w:rsid w:val="00305061"/>
    <w:rsid w:val="0030581C"/>
    <w:rsid w:val="00305E5F"/>
    <w:rsid w:val="00306119"/>
    <w:rsid w:val="00310F95"/>
    <w:rsid w:val="0031102C"/>
    <w:rsid w:val="00312439"/>
    <w:rsid w:val="003127E6"/>
    <w:rsid w:val="00312E6E"/>
    <w:rsid w:val="00312FF3"/>
    <w:rsid w:val="003138A1"/>
    <w:rsid w:val="00315CB8"/>
    <w:rsid w:val="003179ED"/>
    <w:rsid w:val="00320940"/>
    <w:rsid w:val="00322480"/>
    <w:rsid w:val="00324260"/>
    <w:rsid w:val="00324785"/>
    <w:rsid w:val="00324938"/>
    <w:rsid w:val="00325BC3"/>
    <w:rsid w:val="003278FD"/>
    <w:rsid w:val="00330048"/>
    <w:rsid w:val="00332715"/>
    <w:rsid w:val="00332FEB"/>
    <w:rsid w:val="00333AB9"/>
    <w:rsid w:val="003357CA"/>
    <w:rsid w:val="00335C69"/>
    <w:rsid w:val="003456BD"/>
    <w:rsid w:val="00345C6D"/>
    <w:rsid w:val="0034765C"/>
    <w:rsid w:val="00353F32"/>
    <w:rsid w:val="003543EA"/>
    <w:rsid w:val="003545B2"/>
    <w:rsid w:val="003547E5"/>
    <w:rsid w:val="0035521E"/>
    <w:rsid w:val="00355320"/>
    <w:rsid w:val="00355C12"/>
    <w:rsid w:val="00356457"/>
    <w:rsid w:val="00356690"/>
    <w:rsid w:val="003569BD"/>
    <w:rsid w:val="00357FC9"/>
    <w:rsid w:val="003605E7"/>
    <w:rsid w:val="0036135D"/>
    <w:rsid w:val="00365A86"/>
    <w:rsid w:val="00365DE7"/>
    <w:rsid w:val="003668CF"/>
    <w:rsid w:val="0037559F"/>
    <w:rsid w:val="00375B28"/>
    <w:rsid w:val="0037675E"/>
    <w:rsid w:val="00377E94"/>
    <w:rsid w:val="00381090"/>
    <w:rsid w:val="00381CD7"/>
    <w:rsid w:val="00385BC3"/>
    <w:rsid w:val="003864F6"/>
    <w:rsid w:val="00390E31"/>
    <w:rsid w:val="00391737"/>
    <w:rsid w:val="0039344D"/>
    <w:rsid w:val="00393638"/>
    <w:rsid w:val="00396A04"/>
    <w:rsid w:val="00397570"/>
    <w:rsid w:val="003A15E1"/>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023"/>
    <w:rsid w:val="003C6B82"/>
    <w:rsid w:val="003C6D3A"/>
    <w:rsid w:val="003D092D"/>
    <w:rsid w:val="003D4A34"/>
    <w:rsid w:val="003D6235"/>
    <w:rsid w:val="003D6525"/>
    <w:rsid w:val="003E080A"/>
    <w:rsid w:val="003E0917"/>
    <w:rsid w:val="003E0EF0"/>
    <w:rsid w:val="003E358F"/>
    <w:rsid w:val="003E5FF2"/>
    <w:rsid w:val="003F046A"/>
    <w:rsid w:val="003F10F8"/>
    <w:rsid w:val="003F4EA4"/>
    <w:rsid w:val="003F5CF6"/>
    <w:rsid w:val="003F6ACA"/>
    <w:rsid w:val="003F7AF4"/>
    <w:rsid w:val="0040003B"/>
    <w:rsid w:val="004005AC"/>
    <w:rsid w:val="004007BE"/>
    <w:rsid w:val="00402A15"/>
    <w:rsid w:val="0040434F"/>
    <w:rsid w:val="00405F21"/>
    <w:rsid w:val="00406B07"/>
    <w:rsid w:val="00406FBE"/>
    <w:rsid w:val="0041039C"/>
    <w:rsid w:val="004162F1"/>
    <w:rsid w:val="0042197D"/>
    <w:rsid w:val="004248D9"/>
    <w:rsid w:val="00425D30"/>
    <w:rsid w:val="00426482"/>
    <w:rsid w:val="004268A6"/>
    <w:rsid w:val="00427CE2"/>
    <w:rsid w:val="00434D7D"/>
    <w:rsid w:val="004353EE"/>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3382"/>
    <w:rsid w:val="00473DA2"/>
    <w:rsid w:val="00475C30"/>
    <w:rsid w:val="0047738F"/>
    <w:rsid w:val="00477DA1"/>
    <w:rsid w:val="004803F0"/>
    <w:rsid w:val="004806BE"/>
    <w:rsid w:val="00481A82"/>
    <w:rsid w:val="00486DF5"/>
    <w:rsid w:val="00491645"/>
    <w:rsid w:val="00492D8F"/>
    <w:rsid w:val="00493464"/>
    <w:rsid w:val="004939DF"/>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5BA3"/>
    <w:rsid w:val="004D6ABC"/>
    <w:rsid w:val="004E1034"/>
    <w:rsid w:val="004E13AF"/>
    <w:rsid w:val="004E2CA0"/>
    <w:rsid w:val="004E40FD"/>
    <w:rsid w:val="004E789F"/>
    <w:rsid w:val="004F0E4B"/>
    <w:rsid w:val="004F1FFD"/>
    <w:rsid w:val="004F49AA"/>
    <w:rsid w:val="004F521A"/>
    <w:rsid w:val="004F551E"/>
    <w:rsid w:val="005005B8"/>
    <w:rsid w:val="0050109F"/>
    <w:rsid w:val="00505AF3"/>
    <w:rsid w:val="005066F6"/>
    <w:rsid w:val="00515920"/>
    <w:rsid w:val="00515AD8"/>
    <w:rsid w:val="00515DE0"/>
    <w:rsid w:val="00520345"/>
    <w:rsid w:val="00520BE3"/>
    <w:rsid w:val="00522A8B"/>
    <w:rsid w:val="0052442F"/>
    <w:rsid w:val="00524BB2"/>
    <w:rsid w:val="005262E5"/>
    <w:rsid w:val="00527866"/>
    <w:rsid w:val="00530AC8"/>
    <w:rsid w:val="0053145E"/>
    <w:rsid w:val="0053190B"/>
    <w:rsid w:val="005338D3"/>
    <w:rsid w:val="00533DD2"/>
    <w:rsid w:val="00533E19"/>
    <w:rsid w:val="0053559E"/>
    <w:rsid w:val="0053566B"/>
    <w:rsid w:val="00540381"/>
    <w:rsid w:val="00542411"/>
    <w:rsid w:val="00543A0A"/>
    <w:rsid w:val="005444AB"/>
    <w:rsid w:val="00546B5F"/>
    <w:rsid w:val="005514F5"/>
    <w:rsid w:val="00552EB0"/>
    <w:rsid w:val="00554716"/>
    <w:rsid w:val="00555D3D"/>
    <w:rsid w:val="00561803"/>
    <w:rsid w:val="00562652"/>
    <w:rsid w:val="0056358F"/>
    <w:rsid w:val="005649C0"/>
    <w:rsid w:val="00565752"/>
    <w:rsid w:val="00566969"/>
    <w:rsid w:val="00566EBF"/>
    <w:rsid w:val="00571569"/>
    <w:rsid w:val="00575BCE"/>
    <w:rsid w:val="0057730A"/>
    <w:rsid w:val="00577623"/>
    <w:rsid w:val="0058155C"/>
    <w:rsid w:val="00582047"/>
    <w:rsid w:val="00583D6C"/>
    <w:rsid w:val="00584568"/>
    <w:rsid w:val="00584BC8"/>
    <w:rsid w:val="00586890"/>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716F"/>
    <w:rsid w:val="005C204E"/>
    <w:rsid w:val="005C22D6"/>
    <w:rsid w:val="005C2F53"/>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6E40"/>
    <w:rsid w:val="00601913"/>
    <w:rsid w:val="0060421A"/>
    <w:rsid w:val="0061100D"/>
    <w:rsid w:val="00611340"/>
    <w:rsid w:val="00611644"/>
    <w:rsid w:val="0061330D"/>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7A8C"/>
    <w:rsid w:val="00693450"/>
    <w:rsid w:val="00693C9A"/>
    <w:rsid w:val="00695912"/>
    <w:rsid w:val="00696435"/>
    <w:rsid w:val="006964C3"/>
    <w:rsid w:val="00697C9C"/>
    <w:rsid w:val="006A53C9"/>
    <w:rsid w:val="006B0230"/>
    <w:rsid w:val="006B075E"/>
    <w:rsid w:val="006B0F3D"/>
    <w:rsid w:val="006B135C"/>
    <w:rsid w:val="006C1EBB"/>
    <w:rsid w:val="006C234F"/>
    <w:rsid w:val="006C3986"/>
    <w:rsid w:val="006C4F78"/>
    <w:rsid w:val="006C63AE"/>
    <w:rsid w:val="006C63C2"/>
    <w:rsid w:val="006C711B"/>
    <w:rsid w:val="006D07D6"/>
    <w:rsid w:val="006D09F8"/>
    <w:rsid w:val="006D2138"/>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49E2"/>
    <w:rsid w:val="00735154"/>
    <w:rsid w:val="007359E9"/>
    <w:rsid w:val="00736318"/>
    <w:rsid w:val="0073697C"/>
    <w:rsid w:val="00741AA7"/>
    <w:rsid w:val="00742BEF"/>
    <w:rsid w:val="0074315A"/>
    <w:rsid w:val="007478F2"/>
    <w:rsid w:val="00751E20"/>
    <w:rsid w:val="00752B06"/>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4087"/>
    <w:rsid w:val="007A506B"/>
    <w:rsid w:val="007A5914"/>
    <w:rsid w:val="007A5DF7"/>
    <w:rsid w:val="007B37F8"/>
    <w:rsid w:val="007B5C1D"/>
    <w:rsid w:val="007B66A7"/>
    <w:rsid w:val="007B69AE"/>
    <w:rsid w:val="007C16BF"/>
    <w:rsid w:val="007C358C"/>
    <w:rsid w:val="007C3CB1"/>
    <w:rsid w:val="007C607E"/>
    <w:rsid w:val="007D1532"/>
    <w:rsid w:val="007D1587"/>
    <w:rsid w:val="007D26F6"/>
    <w:rsid w:val="007D383B"/>
    <w:rsid w:val="007D59C7"/>
    <w:rsid w:val="007D5B0F"/>
    <w:rsid w:val="007D6BE6"/>
    <w:rsid w:val="007E2B3E"/>
    <w:rsid w:val="007E2F46"/>
    <w:rsid w:val="007E315C"/>
    <w:rsid w:val="007E6D8E"/>
    <w:rsid w:val="007E7000"/>
    <w:rsid w:val="007F14F5"/>
    <w:rsid w:val="007F7226"/>
    <w:rsid w:val="0080159B"/>
    <w:rsid w:val="008041B9"/>
    <w:rsid w:val="008042E9"/>
    <w:rsid w:val="0080435E"/>
    <w:rsid w:val="00805594"/>
    <w:rsid w:val="00806A0E"/>
    <w:rsid w:val="00810336"/>
    <w:rsid w:val="00812F1A"/>
    <w:rsid w:val="00814021"/>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705E3"/>
    <w:rsid w:val="00870635"/>
    <w:rsid w:val="0087248D"/>
    <w:rsid w:val="00873608"/>
    <w:rsid w:val="00873E3D"/>
    <w:rsid w:val="008752C0"/>
    <w:rsid w:val="00875BCB"/>
    <w:rsid w:val="00876521"/>
    <w:rsid w:val="00880D07"/>
    <w:rsid w:val="00881537"/>
    <w:rsid w:val="00883375"/>
    <w:rsid w:val="008838DB"/>
    <w:rsid w:val="0088623E"/>
    <w:rsid w:val="0089074E"/>
    <w:rsid w:val="008909E5"/>
    <w:rsid w:val="00890D08"/>
    <w:rsid w:val="00894A0A"/>
    <w:rsid w:val="00894B05"/>
    <w:rsid w:val="008955BC"/>
    <w:rsid w:val="008965DD"/>
    <w:rsid w:val="008967B0"/>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50A"/>
    <w:rsid w:val="008B7A75"/>
    <w:rsid w:val="008C1811"/>
    <w:rsid w:val="008C2535"/>
    <w:rsid w:val="008C2751"/>
    <w:rsid w:val="008C471E"/>
    <w:rsid w:val="008C6322"/>
    <w:rsid w:val="008C7047"/>
    <w:rsid w:val="008D050C"/>
    <w:rsid w:val="008D0751"/>
    <w:rsid w:val="008D3085"/>
    <w:rsid w:val="008D498E"/>
    <w:rsid w:val="008D4B12"/>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43C0"/>
    <w:rsid w:val="00944ABA"/>
    <w:rsid w:val="00947EA6"/>
    <w:rsid w:val="00953180"/>
    <w:rsid w:val="00954311"/>
    <w:rsid w:val="0095587D"/>
    <w:rsid w:val="00956192"/>
    <w:rsid w:val="009561EC"/>
    <w:rsid w:val="009565C3"/>
    <w:rsid w:val="00965DE3"/>
    <w:rsid w:val="0096680B"/>
    <w:rsid w:val="0096697E"/>
    <w:rsid w:val="00966D02"/>
    <w:rsid w:val="009678EA"/>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279B"/>
    <w:rsid w:val="0099350E"/>
    <w:rsid w:val="00996E8E"/>
    <w:rsid w:val="009A06A1"/>
    <w:rsid w:val="009A1385"/>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624"/>
    <w:rsid w:val="009C7327"/>
    <w:rsid w:val="009D1A12"/>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799C"/>
    <w:rsid w:val="00A00346"/>
    <w:rsid w:val="00A0637C"/>
    <w:rsid w:val="00A07A20"/>
    <w:rsid w:val="00A112E7"/>
    <w:rsid w:val="00A17529"/>
    <w:rsid w:val="00A17682"/>
    <w:rsid w:val="00A20532"/>
    <w:rsid w:val="00A20814"/>
    <w:rsid w:val="00A20D72"/>
    <w:rsid w:val="00A225D0"/>
    <w:rsid w:val="00A24686"/>
    <w:rsid w:val="00A25593"/>
    <w:rsid w:val="00A27068"/>
    <w:rsid w:val="00A2708A"/>
    <w:rsid w:val="00A33926"/>
    <w:rsid w:val="00A34796"/>
    <w:rsid w:val="00A35590"/>
    <w:rsid w:val="00A401BA"/>
    <w:rsid w:val="00A4290C"/>
    <w:rsid w:val="00A42D45"/>
    <w:rsid w:val="00A44D23"/>
    <w:rsid w:val="00A503B1"/>
    <w:rsid w:val="00A52229"/>
    <w:rsid w:val="00A54F6C"/>
    <w:rsid w:val="00A56581"/>
    <w:rsid w:val="00A56AF1"/>
    <w:rsid w:val="00A60FAE"/>
    <w:rsid w:val="00A61B9E"/>
    <w:rsid w:val="00A63839"/>
    <w:rsid w:val="00A6445C"/>
    <w:rsid w:val="00A6751F"/>
    <w:rsid w:val="00A70147"/>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B0812"/>
    <w:rsid w:val="00AB2920"/>
    <w:rsid w:val="00AB30EB"/>
    <w:rsid w:val="00AB385C"/>
    <w:rsid w:val="00AC0A94"/>
    <w:rsid w:val="00AC1A4B"/>
    <w:rsid w:val="00AC3642"/>
    <w:rsid w:val="00AD0126"/>
    <w:rsid w:val="00AD01C2"/>
    <w:rsid w:val="00AD0FCB"/>
    <w:rsid w:val="00AD159C"/>
    <w:rsid w:val="00AD320D"/>
    <w:rsid w:val="00AD4DD2"/>
    <w:rsid w:val="00AE1333"/>
    <w:rsid w:val="00AE196C"/>
    <w:rsid w:val="00AE6FA7"/>
    <w:rsid w:val="00AE7035"/>
    <w:rsid w:val="00AE7757"/>
    <w:rsid w:val="00AF060E"/>
    <w:rsid w:val="00AF111D"/>
    <w:rsid w:val="00AF2D42"/>
    <w:rsid w:val="00AF569A"/>
    <w:rsid w:val="00AF572D"/>
    <w:rsid w:val="00AF5EEF"/>
    <w:rsid w:val="00AF79CB"/>
    <w:rsid w:val="00AF7F1E"/>
    <w:rsid w:val="00B012CD"/>
    <w:rsid w:val="00B01639"/>
    <w:rsid w:val="00B03B71"/>
    <w:rsid w:val="00B07D81"/>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31AB"/>
    <w:rsid w:val="00B53C34"/>
    <w:rsid w:val="00B651E4"/>
    <w:rsid w:val="00B65791"/>
    <w:rsid w:val="00B66A36"/>
    <w:rsid w:val="00B71EFA"/>
    <w:rsid w:val="00B72438"/>
    <w:rsid w:val="00B72BAB"/>
    <w:rsid w:val="00B74559"/>
    <w:rsid w:val="00B76557"/>
    <w:rsid w:val="00B85489"/>
    <w:rsid w:val="00B87179"/>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E04"/>
    <w:rsid w:val="00BB3000"/>
    <w:rsid w:val="00BB34E3"/>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912"/>
    <w:rsid w:val="00BF4B8F"/>
    <w:rsid w:val="00C000FD"/>
    <w:rsid w:val="00C005BC"/>
    <w:rsid w:val="00C01DF1"/>
    <w:rsid w:val="00C04D83"/>
    <w:rsid w:val="00C1070D"/>
    <w:rsid w:val="00C10B3B"/>
    <w:rsid w:val="00C11ECE"/>
    <w:rsid w:val="00C129DE"/>
    <w:rsid w:val="00C150BB"/>
    <w:rsid w:val="00C16B79"/>
    <w:rsid w:val="00C2099E"/>
    <w:rsid w:val="00C224C0"/>
    <w:rsid w:val="00C22816"/>
    <w:rsid w:val="00C23CF0"/>
    <w:rsid w:val="00C249F4"/>
    <w:rsid w:val="00C24E63"/>
    <w:rsid w:val="00C252CB"/>
    <w:rsid w:val="00C31272"/>
    <w:rsid w:val="00C31BB5"/>
    <w:rsid w:val="00C34562"/>
    <w:rsid w:val="00C369F9"/>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56ED"/>
    <w:rsid w:val="00C66683"/>
    <w:rsid w:val="00C715BD"/>
    <w:rsid w:val="00C7228F"/>
    <w:rsid w:val="00C76128"/>
    <w:rsid w:val="00C82776"/>
    <w:rsid w:val="00C8303E"/>
    <w:rsid w:val="00C83C7F"/>
    <w:rsid w:val="00C84EC9"/>
    <w:rsid w:val="00C85731"/>
    <w:rsid w:val="00C8685C"/>
    <w:rsid w:val="00C877B1"/>
    <w:rsid w:val="00C87826"/>
    <w:rsid w:val="00C900B9"/>
    <w:rsid w:val="00C9066A"/>
    <w:rsid w:val="00C90AE0"/>
    <w:rsid w:val="00C926AE"/>
    <w:rsid w:val="00C9400D"/>
    <w:rsid w:val="00C9595A"/>
    <w:rsid w:val="00C961B0"/>
    <w:rsid w:val="00CA0FE5"/>
    <w:rsid w:val="00CA1B3B"/>
    <w:rsid w:val="00CA560E"/>
    <w:rsid w:val="00CA5CC9"/>
    <w:rsid w:val="00CA723F"/>
    <w:rsid w:val="00CB094C"/>
    <w:rsid w:val="00CB09CE"/>
    <w:rsid w:val="00CB1B1A"/>
    <w:rsid w:val="00CB2A6E"/>
    <w:rsid w:val="00CB69AF"/>
    <w:rsid w:val="00CB6C17"/>
    <w:rsid w:val="00CB7304"/>
    <w:rsid w:val="00CB78C4"/>
    <w:rsid w:val="00CC0897"/>
    <w:rsid w:val="00CC1CB4"/>
    <w:rsid w:val="00CC3478"/>
    <w:rsid w:val="00CC7D0A"/>
    <w:rsid w:val="00CD02AB"/>
    <w:rsid w:val="00CD13F8"/>
    <w:rsid w:val="00CD28D5"/>
    <w:rsid w:val="00CD2EA0"/>
    <w:rsid w:val="00CD330F"/>
    <w:rsid w:val="00CD4123"/>
    <w:rsid w:val="00CD6788"/>
    <w:rsid w:val="00CD681E"/>
    <w:rsid w:val="00CE11F6"/>
    <w:rsid w:val="00CE2716"/>
    <w:rsid w:val="00CE2DFA"/>
    <w:rsid w:val="00CE2F2A"/>
    <w:rsid w:val="00CE461E"/>
    <w:rsid w:val="00CE699E"/>
    <w:rsid w:val="00CE7B3A"/>
    <w:rsid w:val="00CF00D7"/>
    <w:rsid w:val="00CF01F6"/>
    <w:rsid w:val="00CF2C6A"/>
    <w:rsid w:val="00CF4533"/>
    <w:rsid w:val="00CF5CDF"/>
    <w:rsid w:val="00CF6701"/>
    <w:rsid w:val="00CF6DC4"/>
    <w:rsid w:val="00CF76B3"/>
    <w:rsid w:val="00CF77BF"/>
    <w:rsid w:val="00CF7D07"/>
    <w:rsid w:val="00D00BE7"/>
    <w:rsid w:val="00D00E94"/>
    <w:rsid w:val="00D03109"/>
    <w:rsid w:val="00D03A53"/>
    <w:rsid w:val="00D04219"/>
    <w:rsid w:val="00D042B9"/>
    <w:rsid w:val="00D075C8"/>
    <w:rsid w:val="00D100AF"/>
    <w:rsid w:val="00D100F6"/>
    <w:rsid w:val="00D11335"/>
    <w:rsid w:val="00D11A4B"/>
    <w:rsid w:val="00D14823"/>
    <w:rsid w:val="00D17BFC"/>
    <w:rsid w:val="00D21F05"/>
    <w:rsid w:val="00D24521"/>
    <w:rsid w:val="00D250E4"/>
    <w:rsid w:val="00D270E9"/>
    <w:rsid w:val="00D27C6F"/>
    <w:rsid w:val="00D30B66"/>
    <w:rsid w:val="00D31842"/>
    <w:rsid w:val="00D31C14"/>
    <w:rsid w:val="00D35098"/>
    <w:rsid w:val="00D362E8"/>
    <w:rsid w:val="00D36F00"/>
    <w:rsid w:val="00D40A25"/>
    <w:rsid w:val="00D42F42"/>
    <w:rsid w:val="00D43767"/>
    <w:rsid w:val="00D4461C"/>
    <w:rsid w:val="00D46E67"/>
    <w:rsid w:val="00D478F6"/>
    <w:rsid w:val="00D501A1"/>
    <w:rsid w:val="00D52251"/>
    <w:rsid w:val="00D60512"/>
    <w:rsid w:val="00D60B36"/>
    <w:rsid w:val="00D61D54"/>
    <w:rsid w:val="00D63CCB"/>
    <w:rsid w:val="00D65446"/>
    <w:rsid w:val="00D65E59"/>
    <w:rsid w:val="00D67480"/>
    <w:rsid w:val="00D7055A"/>
    <w:rsid w:val="00D70A75"/>
    <w:rsid w:val="00D72A31"/>
    <w:rsid w:val="00D73D1F"/>
    <w:rsid w:val="00D7465B"/>
    <w:rsid w:val="00D8203D"/>
    <w:rsid w:val="00D85741"/>
    <w:rsid w:val="00D903E2"/>
    <w:rsid w:val="00D9055C"/>
    <w:rsid w:val="00D90A45"/>
    <w:rsid w:val="00D90C50"/>
    <w:rsid w:val="00D92F9F"/>
    <w:rsid w:val="00D93260"/>
    <w:rsid w:val="00D934F0"/>
    <w:rsid w:val="00D94754"/>
    <w:rsid w:val="00D94C5D"/>
    <w:rsid w:val="00D94D65"/>
    <w:rsid w:val="00D95E2C"/>
    <w:rsid w:val="00D977EB"/>
    <w:rsid w:val="00DA3DF4"/>
    <w:rsid w:val="00DA48DA"/>
    <w:rsid w:val="00DA5D82"/>
    <w:rsid w:val="00DA6976"/>
    <w:rsid w:val="00DA6D2E"/>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AC8"/>
    <w:rsid w:val="00DD3B2B"/>
    <w:rsid w:val="00DD3CB9"/>
    <w:rsid w:val="00DD55D5"/>
    <w:rsid w:val="00DD590B"/>
    <w:rsid w:val="00DD6D36"/>
    <w:rsid w:val="00DE12BA"/>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7A0A"/>
    <w:rsid w:val="00E20973"/>
    <w:rsid w:val="00E20EAD"/>
    <w:rsid w:val="00E2114F"/>
    <w:rsid w:val="00E231B5"/>
    <w:rsid w:val="00E26138"/>
    <w:rsid w:val="00E27D5F"/>
    <w:rsid w:val="00E32F77"/>
    <w:rsid w:val="00E33F31"/>
    <w:rsid w:val="00E37B03"/>
    <w:rsid w:val="00E41838"/>
    <w:rsid w:val="00E429CC"/>
    <w:rsid w:val="00E44A2E"/>
    <w:rsid w:val="00E456B9"/>
    <w:rsid w:val="00E51892"/>
    <w:rsid w:val="00E51C99"/>
    <w:rsid w:val="00E5267F"/>
    <w:rsid w:val="00E52E82"/>
    <w:rsid w:val="00E541DB"/>
    <w:rsid w:val="00E54F18"/>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5FC6"/>
    <w:rsid w:val="00E86D1B"/>
    <w:rsid w:val="00E87DB5"/>
    <w:rsid w:val="00E963FB"/>
    <w:rsid w:val="00E975A8"/>
    <w:rsid w:val="00EA0275"/>
    <w:rsid w:val="00EA29A3"/>
    <w:rsid w:val="00EA543D"/>
    <w:rsid w:val="00EA71B1"/>
    <w:rsid w:val="00EB025B"/>
    <w:rsid w:val="00EB198B"/>
    <w:rsid w:val="00EB2240"/>
    <w:rsid w:val="00EB38EF"/>
    <w:rsid w:val="00EB44C1"/>
    <w:rsid w:val="00EC15BB"/>
    <w:rsid w:val="00EC161A"/>
    <w:rsid w:val="00EC4E93"/>
    <w:rsid w:val="00EC6E0D"/>
    <w:rsid w:val="00ED006E"/>
    <w:rsid w:val="00ED0802"/>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746"/>
    <w:rsid w:val="00EF587D"/>
    <w:rsid w:val="00EF7A51"/>
    <w:rsid w:val="00EF7E66"/>
    <w:rsid w:val="00F0098C"/>
    <w:rsid w:val="00F03628"/>
    <w:rsid w:val="00F06D25"/>
    <w:rsid w:val="00F11E9E"/>
    <w:rsid w:val="00F1504E"/>
    <w:rsid w:val="00F1512E"/>
    <w:rsid w:val="00F206EA"/>
    <w:rsid w:val="00F232DE"/>
    <w:rsid w:val="00F24977"/>
    <w:rsid w:val="00F24B2C"/>
    <w:rsid w:val="00F26279"/>
    <w:rsid w:val="00F2705F"/>
    <w:rsid w:val="00F27C6C"/>
    <w:rsid w:val="00F33BDF"/>
    <w:rsid w:val="00F3755A"/>
    <w:rsid w:val="00F37A62"/>
    <w:rsid w:val="00F4129B"/>
    <w:rsid w:val="00F43AF9"/>
    <w:rsid w:val="00F43B91"/>
    <w:rsid w:val="00F43F47"/>
    <w:rsid w:val="00F45473"/>
    <w:rsid w:val="00F45A78"/>
    <w:rsid w:val="00F468B8"/>
    <w:rsid w:val="00F470C3"/>
    <w:rsid w:val="00F51A9F"/>
    <w:rsid w:val="00F52D4D"/>
    <w:rsid w:val="00F52E60"/>
    <w:rsid w:val="00F537FA"/>
    <w:rsid w:val="00F55EDD"/>
    <w:rsid w:val="00F618F1"/>
    <w:rsid w:val="00F62A1B"/>
    <w:rsid w:val="00F650D3"/>
    <w:rsid w:val="00F6643C"/>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41F9"/>
    <w:rsid w:val="00F943CE"/>
    <w:rsid w:val="00F9478D"/>
    <w:rsid w:val="00FA062B"/>
    <w:rsid w:val="00FA0D5C"/>
    <w:rsid w:val="00FA1077"/>
    <w:rsid w:val="00FA21AA"/>
    <w:rsid w:val="00FA47DC"/>
    <w:rsid w:val="00FA6179"/>
    <w:rsid w:val="00FA66DE"/>
    <w:rsid w:val="00FA6C94"/>
    <w:rsid w:val="00FA7CB6"/>
    <w:rsid w:val="00FB071A"/>
    <w:rsid w:val="00FB1A16"/>
    <w:rsid w:val="00FB1A1C"/>
    <w:rsid w:val="00FB2692"/>
    <w:rsid w:val="00FB45DC"/>
    <w:rsid w:val="00FB5FAE"/>
    <w:rsid w:val="00FB676B"/>
    <w:rsid w:val="00FB743A"/>
    <w:rsid w:val="00FB75B2"/>
    <w:rsid w:val="00FB7FC4"/>
    <w:rsid w:val="00FC0303"/>
    <w:rsid w:val="00FC1267"/>
    <w:rsid w:val="00FC28C3"/>
    <w:rsid w:val="00FC430A"/>
    <w:rsid w:val="00FC5120"/>
    <w:rsid w:val="00FC5961"/>
    <w:rsid w:val="00FC5F3D"/>
    <w:rsid w:val="00FD0D95"/>
    <w:rsid w:val="00FD3526"/>
    <w:rsid w:val="00FD5713"/>
    <w:rsid w:val="00FD6CF0"/>
    <w:rsid w:val="00FD7791"/>
    <w:rsid w:val="00FD7CF9"/>
    <w:rsid w:val="00FE0185"/>
    <w:rsid w:val="00FE0DFF"/>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334B4-E884-4092-81A2-CE915583F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3486</Words>
  <Characters>19875</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3</cp:revision>
  <cp:lastPrinted>2021-11-25T10:35:00Z</cp:lastPrinted>
  <dcterms:created xsi:type="dcterms:W3CDTF">2022-04-29T10:34:00Z</dcterms:created>
  <dcterms:modified xsi:type="dcterms:W3CDTF">2022-04-29T13:08:00Z</dcterms:modified>
</cp:coreProperties>
</file>